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4"/>
        <w:gridCol w:w="3006"/>
      </w:tblGrid>
      <w:tr w:rsidR="00ED6A68" w:rsidRPr="00350989" w14:paraId="1AB05C5F" w14:textId="77777777" w:rsidTr="00DD7DAC">
        <w:trPr>
          <w:trHeight w:val="557"/>
        </w:trPr>
        <w:tc>
          <w:tcPr>
            <w:tcW w:w="5000" w:type="pct"/>
            <w:gridSpan w:val="2"/>
            <w:shd w:val="clear" w:color="auto" w:fill="auto"/>
            <w:vAlign w:val="center"/>
          </w:tcPr>
          <w:p w14:paraId="7EABAA47" w14:textId="77777777" w:rsidR="00ED6A68" w:rsidRPr="00350989" w:rsidRDefault="0065380E" w:rsidP="00D03569">
            <w:pPr>
              <w:pStyle w:val="Sourcereference"/>
              <w:rPr>
                <w:b/>
                <w:i w:val="0"/>
                <w:lang w:val="en-GB"/>
              </w:rPr>
            </w:pPr>
            <w:r w:rsidRPr="00350989">
              <w:rPr>
                <w:b/>
                <w:i w:val="0"/>
                <w:sz w:val="24"/>
                <w:lang w:val="en-GB"/>
              </w:rPr>
              <w:t>European Semester 201</w:t>
            </w:r>
            <w:r w:rsidR="008740BE" w:rsidRPr="00350989">
              <w:rPr>
                <w:b/>
                <w:i w:val="0"/>
                <w:sz w:val="24"/>
                <w:lang w:val="en-GB"/>
              </w:rPr>
              <w:t>6</w:t>
            </w:r>
            <w:r w:rsidRPr="00350989">
              <w:rPr>
                <w:b/>
                <w:i w:val="0"/>
                <w:sz w:val="24"/>
                <w:lang w:val="en-GB"/>
              </w:rPr>
              <w:t>/201</w:t>
            </w:r>
            <w:r w:rsidR="008740BE" w:rsidRPr="00350989">
              <w:rPr>
                <w:b/>
                <w:i w:val="0"/>
                <w:sz w:val="24"/>
                <w:lang w:val="en-GB"/>
              </w:rPr>
              <w:t>7</w:t>
            </w:r>
            <w:r w:rsidRPr="00350989">
              <w:rPr>
                <w:b/>
                <w:i w:val="0"/>
                <w:sz w:val="24"/>
                <w:lang w:val="en-GB"/>
              </w:rPr>
              <w:t xml:space="preserve"> country fiche on disability</w:t>
            </w:r>
          </w:p>
        </w:tc>
      </w:tr>
      <w:tr w:rsidR="00ED6A68" w:rsidRPr="00350989" w14:paraId="6E16CE5C" w14:textId="77777777" w:rsidTr="00DD7DAC">
        <w:trPr>
          <w:trHeight w:val="557"/>
        </w:trPr>
        <w:tc>
          <w:tcPr>
            <w:tcW w:w="3341" w:type="pct"/>
            <w:shd w:val="clear" w:color="auto" w:fill="auto"/>
          </w:tcPr>
          <w:p w14:paraId="7AD45A09" w14:textId="77777777" w:rsidR="00ED6A68" w:rsidRPr="00350989" w:rsidRDefault="001453BF" w:rsidP="000D7F61">
            <w:pPr>
              <w:spacing w:after="0"/>
              <w:rPr>
                <w:b/>
              </w:rPr>
            </w:pPr>
            <w:r w:rsidRPr="00350989">
              <w:rPr>
                <w:b/>
              </w:rPr>
              <w:t>Cyprus</w:t>
            </w:r>
          </w:p>
        </w:tc>
        <w:tc>
          <w:tcPr>
            <w:tcW w:w="1659" w:type="pct"/>
            <w:vMerge w:val="restart"/>
            <w:shd w:val="clear" w:color="auto" w:fill="auto"/>
            <w:vAlign w:val="center"/>
          </w:tcPr>
          <w:p w14:paraId="3F8F0DF2" w14:textId="77777777" w:rsidR="00ED6A68" w:rsidRPr="00350989" w:rsidRDefault="009672E6" w:rsidP="000D7F61">
            <w:pPr>
              <w:spacing w:after="0"/>
            </w:pPr>
            <w:r w:rsidRPr="00350989">
              <w:rPr>
                <w:noProof/>
                <w:lang w:val="nl-NL" w:eastAsia="nl-NL"/>
              </w:rPr>
              <w:drawing>
                <wp:inline distT="0" distB="0" distL="0" distR="0" wp14:anchorId="10F5F5AE" wp14:editId="4C31EF9D">
                  <wp:extent cx="1764000" cy="1713600"/>
                  <wp:effectExtent l="0" t="0" r="8255" b="1270"/>
                  <wp:docPr id="22" name="Picture 14" descr="N:\Education&amp;Social-Sciences&amp;Law\Projects\Research_Data\0488_9406993_Mark-Priestley_ANED\ANED\2015\EU2020\2015 templates to complete\country_symbols_images\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Education&amp;Social-Sciences&amp;Law\Projects\Research_Data\0488_9406993_Mark-Priestley_ANED\ANED\2015\EU2020\2015 templates to complete\country_symbols_images\C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4000" cy="1713600"/>
                          </a:xfrm>
                          <a:prstGeom prst="rect">
                            <a:avLst/>
                          </a:prstGeom>
                          <a:noFill/>
                          <a:ln>
                            <a:noFill/>
                          </a:ln>
                        </pic:spPr>
                      </pic:pic>
                    </a:graphicData>
                  </a:graphic>
                </wp:inline>
              </w:drawing>
            </w:r>
          </w:p>
        </w:tc>
      </w:tr>
      <w:tr w:rsidR="00ED6A68" w:rsidRPr="00350989" w14:paraId="54B6C3AF" w14:textId="77777777" w:rsidTr="00DD7DAC">
        <w:trPr>
          <w:trHeight w:val="1274"/>
        </w:trPr>
        <w:tc>
          <w:tcPr>
            <w:tcW w:w="3341" w:type="pct"/>
            <w:shd w:val="clear" w:color="auto" w:fill="auto"/>
          </w:tcPr>
          <w:p w14:paraId="7BF78A44" w14:textId="77777777" w:rsidR="00ED6A68" w:rsidRPr="00350989" w:rsidRDefault="00ED6A68" w:rsidP="000D7F61">
            <w:pPr>
              <w:spacing w:after="0"/>
            </w:pPr>
            <w:r w:rsidRPr="00350989">
              <w:t xml:space="preserve">Report prepared by: </w:t>
            </w:r>
          </w:p>
          <w:p w14:paraId="628053CE" w14:textId="77777777" w:rsidR="00ED6A68" w:rsidRPr="00350989" w:rsidRDefault="00ED6A68" w:rsidP="000D7F61">
            <w:pPr>
              <w:spacing w:after="0"/>
            </w:pPr>
          </w:p>
          <w:p w14:paraId="701BDE79" w14:textId="77777777" w:rsidR="00017651" w:rsidRPr="00350989" w:rsidRDefault="00017651" w:rsidP="000D7F61">
            <w:pPr>
              <w:spacing w:after="0"/>
            </w:pPr>
            <w:r w:rsidRPr="00350989">
              <w:t xml:space="preserve">Katerina Mavrou </w:t>
            </w:r>
          </w:p>
          <w:p w14:paraId="4E86469B" w14:textId="043969C5" w:rsidR="001E5282" w:rsidRPr="00350989" w:rsidRDefault="001E5282" w:rsidP="000D7F61">
            <w:pPr>
              <w:spacing w:after="0"/>
            </w:pPr>
            <w:r w:rsidRPr="00350989">
              <w:t>Anastasia Liasidou</w:t>
            </w:r>
          </w:p>
        </w:tc>
        <w:tc>
          <w:tcPr>
            <w:tcW w:w="1659" w:type="pct"/>
            <w:vMerge/>
            <w:shd w:val="clear" w:color="auto" w:fill="auto"/>
          </w:tcPr>
          <w:p w14:paraId="104F7E8E" w14:textId="77777777" w:rsidR="00ED6A68" w:rsidRPr="00350989" w:rsidRDefault="00ED6A68" w:rsidP="000D7F61">
            <w:pPr>
              <w:spacing w:after="0"/>
              <w:rPr>
                <w:noProof/>
                <w:color w:val="000000"/>
                <w:lang w:eastAsia="en-GB"/>
              </w:rPr>
            </w:pPr>
          </w:p>
        </w:tc>
      </w:tr>
      <w:tr w:rsidR="00ED6A68" w:rsidRPr="00350989" w14:paraId="18327804" w14:textId="77777777" w:rsidTr="00DD7DAC">
        <w:trPr>
          <w:trHeight w:val="940"/>
        </w:trPr>
        <w:tc>
          <w:tcPr>
            <w:tcW w:w="3341" w:type="pct"/>
            <w:shd w:val="clear" w:color="auto" w:fill="auto"/>
          </w:tcPr>
          <w:p w14:paraId="027DEFF6" w14:textId="77777777" w:rsidR="00ED6A68" w:rsidRPr="00350989" w:rsidRDefault="00ED6A68" w:rsidP="000D7F61">
            <w:pPr>
              <w:spacing w:after="0"/>
            </w:pPr>
            <w:r w:rsidRPr="00350989">
              <w:t>With comparative data provided by the ANED core team</w:t>
            </w:r>
          </w:p>
        </w:tc>
        <w:tc>
          <w:tcPr>
            <w:tcW w:w="1659" w:type="pct"/>
            <w:vMerge/>
            <w:shd w:val="clear" w:color="auto" w:fill="auto"/>
          </w:tcPr>
          <w:p w14:paraId="346B6C9C" w14:textId="77777777" w:rsidR="00ED6A68" w:rsidRPr="00350989" w:rsidRDefault="00ED6A68" w:rsidP="000D7F61">
            <w:pPr>
              <w:spacing w:after="0"/>
              <w:rPr>
                <w:noProof/>
                <w:color w:val="000000"/>
                <w:lang w:eastAsia="en-GB"/>
              </w:rPr>
            </w:pPr>
          </w:p>
        </w:tc>
      </w:tr>
    </w:tbl>
    <w:p w14:paraId="6332E5AD" w14:textId="77777777" w:rsidR="00ED6A68" w:rsidRPr="00350989" w:rsidRDefault="00ED6A68" w:rsidP="000D7F61">
      <w:pPr>
        <w:spacing w:after="0"/>
      </w:pPr>
    </w:p>
    <w:p w14:paraId="5BAD26A8" w14:textId="77777777" w:rsidR="00257B89" w:rsidRPr="00350989" w:rsidRDefault="00257B89" w:rsidP="000D7F61">
      <w:pPr>
        <w:pStyle w:val="BodyText"/>
        <w:spacing w:after="0"/>
      </w:pPr>
    </w:p>
    <w:p w14:paraId="4A2A9AEC" w14:textId="77777777" w:rsidR="00257B89" w:rsidRPr="00350989" w:rsidRDefault="00257B89" w:rsidP="000D7F61">
      <w:pPr>
        <w:pStyle w:val="BodyText"/>
        <w:spacing w:after="0"/>
      </w:pPr>
    </w:p>
    <w:p w14:paraId="32A20ED7" w14:textId="1CB0EAC0" w:rsidR="00AF323E" w:rsidRPr="00350989" w:rsidRDefault="00AF323E" w:rsidP="000D7F61">
      <w:pPr>
        <w:pStyle w:val="BodyText"/>
        <w:spacing w:after="0"/>
      </w:pPr>
      <w:r w:rsidRPr="00350989">
        <w:t xml:space="preserve">The </w:t>
      </w:r>
      <w:hyperlink r:id="rId9" w:history="1">
        <w:r w:rsidRPr="00350989">
          <w:rPr>
            <w:rStyle w:val="Hyperlink"/>
          </w:rPr>
          <w:t>Academic Network of European Disability experts</w:t>
        </w:r>
      </w:hyperlink>
      <w:r w:rsidRPr="00350989">
        <w:t xml:space="preserve"> (ANED) was established by the European Commission in 2008 to provide scientific support and advice for its disability policy Unit. In particular, the activities of the Network support the development of the </w:t>
      </w:r>
      <w:r w:rsidR="00534975" w:rsidRPr="00350989">
        <w:t>European Disability Strategy</w:t>
      </w:r>
      <w:r w:rsidRPr="00350989">
        <w:t xml:space="preserve"> </w:t>
      </w:r>
      <w:r w:rsidR="00534975" w:rsidRPr="00350989">
        <w:t xml:space="preserve">2010-2020 </w:t>
      </w:r>
      <w:r w:rsidRPr="00350989">
        <w:t>and practical implementation of the United Nations Convention on the Rights of Disabled People</w:t>
      </w:r>
      <w:r w:rsidR="00534975" w:rsidRPr="00350989">
        <w:t xml:space="preserve"> in the EU</w:t>
      </w:r>
      <w:r w:rsidRPr="00350989">
        <w:t>.</w:t>
      </w:r>
    </w:p>
    <w:p w14:paraId="0E2024A7" w14:textId="77777777" w:rsidR="003232CD" w:rsidRPr="00350989" w:rsidRDefault="003232CD" w:rsidP="000D7F61">
      <w:pPr>
        <w:pStyle w:val="BodyText"/>
        <w:spacing w:after="0"/>
        <w:rPr>
          <w:lang w:eastAsia="en-GB"/>
        </w:rPr>
      </w:pPr>
    </w:p>
    <w:p w14:paraId="022AC648" w14:textId="77777777" w:rsidR="00AF323E" w:rsidRPr="00350989" w:rsidRDefault="00AF323E" w:rsidP="000D7F61">
      <w:pPr>
        <w:pStyle w:val="BodyText"/>
        <w:spacing w:after="0"/>
      </w:pPr>
      <w:r w:rsidRPr="00350989">
        <w:t xml:space="preserve">This country report has been prepared as input for the </w:t>
      </w:r>
      <w:r w:rsidR="00534975" w:rsidRPr="00350989">
        <w:t>E</w:t>
      </w:r>
      <w:r w:rsidR="00526839" w:rsidRPr="00350989">
        <w:t>uropean Semester</w:t>
      </w:r>
      <w:r w:rsidR="00C75AFD" w:rsidRPr="00350989">
        <w:t xml:space="preserve"> from a disability perspective</w:t>
      </w:r>
      <w:r w:rsidRPr="00350989">
        <w:t xml:space="preserve">. </w:t>
      </w:r>
    </w:p>
    <w:p w14:paraId="3E0560B1" w14:textId="77777777" w:rsidR="003232CD" w:rsidRPr="00350989" w:rsidRDefault="003232CD" w:rsidP="000D7F61">
      <w:pPr>
        <w:pStyle w:val="BodyText"/>
        <w:spacing w:after="0"/>
      </w:pPr>
    </w:p>
    <w:p w14:paraId="6F5B4A68" w14:textId="77777777" w:rsidR="0065380E" w:rsidRPr="00350989" w:rsidRDefault="00480DCE" w:rsidP="000D7F61">
      <w:pPr>
        <w:pStyle w:val="BodyText"/>
        <w:spacing w:after="0"/>
        <w:rPr>
          <w:i/>
        </w:rPr>
      </w:pPr>
      <w:r w:rsidRPr="00350989">
        <w:rPr>
          <w:i/>
        </w:rPr>
        <w:t>Note</w:t>
      </w:r>
      <w:r w:rsidR="00F46384" w:rsidRPr="00350989">
        <w:rPr>
          <w:i/>
        </w:rPr>
        <w:t>:</w:t>
      </w:r>
    </w:p>
    <w:p w14:paraId="1C425C0A" w14:textId="72022D11" w:rsidR="00AA6745" w:rsidRPr="00350989" w:rsidRDefault="00AA6745" w:rsidP="000D7F61">
      <w:pPr>
        <w:pStyle w:val="BodyText"/>
        <w:spacing w:after="0"/>
        <w:rPr>
          <w:i/>
        </w:rPr>
      </w:pPr>
      <w:r w:rsidRPr="00350989">
        <w:rPr>
          <w:i/>
        </w:rPr>
        <w:t xml:space="preserve">The </w:t>
      </w:r>
      <w:r w:rsidR="00141174" w:rsidRPr="00350989">
        <w:rPr>
          <w:i/>
        </w:rPr>
        <w:t>statistics</w:t>
      </w:r>
      <w:r w:rsidRPr="00350989">
        <w:rPr>
          <w:i/>
        </w:rPr>
        <w:t xml:space="preserve"> provided </w:t>
      </w:r>
      <w:r w:rsidR="00D70FF0" w:rsidRPr="00350989">
        <w:rPr>
          <w:i/>
        </w:rPr>
        <w:t xml:space="preserve">in October </w:t>
      </w:r>
      <w:r w:rsidR="00FD2695" w:rsidRPr="00350989">
        <w:rPr>
          <w:i/>
        </w:rPr>
        <w:t>2016</w:t>
      </w:r>
      <w:r w:rsidRPr="00350989">
        <w:rPr>
          <w:i/>
        </w:rPr>
        <w:t xml:space="preserve"> </w:t>
      </w:r>
      <w:r w:rsidR="00141174" w:rsidRPr="00350989">
        <w:rPr>
          <w:i/>
        </w:rPr>
        <w:t>are</w:t>
      </w:r>
      <w:r w:rsidRPr="00350989">
        <w:rPr>
          <w:i/>
        </w:rPr>
        <w:t xml:space="preserve"> </w:t>
      </w:r>
      <w:r w:rsidR="00141174" w:rsidRPr="00350989">
        <w:rPr>
          <w:i/>
        </w:rPr>
        <w:t>based on</w:t>
      </w:r>
      <w:r w:rsidRPr="00350989">
        <w:rPr>
          <w:i/>
        </w:rPr>
        <w:t xml:space="preserve"> the EU-SILC </w:t>
      </w:r>
      <w:r w:rsidR="00FD2695" w:rsidRPr="00350989">
        <w:rPr>
          <w:i/>
        </w:rPr>
        <w:t>2014</w:t>
      </w:r>
      <w:r w:rsidRPr="00350989">
        <w:rPr>
          <w:i/>
        </w:rPr>
        <w:t xml:space="preserve">. </w:t>
      </w:r>
      <w:r w:rsidR="00C83D53" w:rsidRPr="00350989">
        <w:rPr>
          <w:i/>
        </w:rPr>
        <w:t xml:space="preserve">This </w:t>
      </w:r>
      <w:r w:rsidR="00421E28" w:rsidRPr="00350989">
        <w:rPr>
          <w:i/>
        </w:rPr>
        <w:t>is</w:t>
      </w:r>
      <w:r w:rsidR="00C83D53" w:rsidRPr="00350989">
        <w:rPr>
          <w:i/>
        </w:rPr>
        <w:t xml:space="preserve"> the most recent </w:t>
      </w:r>
      <w:r w:rsidR="00141174" w:rsidRPr="00350989">
        <w:rPr>
          <w:i/>
        </w:rPr>
        <w:t>micro</w:t>
      </w:r>
      <w:r w:rsidR="00C83D53" w:rsidRPr="00350989">
        <w:rPr>
          <w:i/>
        </w:rPr>
        <w:t xml:space="preserve">data available </w:t>
      </w:r>
      <w:r w:rsidR="00141174" w:rsidRPr="00350989">
        <w:rPr>
          <w:i/>
        </w:rPr>
        <w:t xml:space="preserve">to researchers </w:t>
      </w:r>
      <w:r w:rsidR="00C83D53" w:rsidRPr="00350989">
        <w:rPr>
          <w:i/>
        </w:rPr>
        <w:t>for analysis</w:t>
      </w:r>
      <w:r w:rsidR="00421E28" w:rsidRPr="00350989">
        <w:rPr>
          <w:i/>
        </w:rPr>
        <w:t xml:space="preserve"> from Eurostat</w:t>
      </w:r>
      <w:r w:rsidR="00C83D53" w:rsidRPr="00350989">
        <w:rPr>
          <w:i/>
        </w:rPr>
        <w:t xml:space="preserve">. </w:t>
      </w:r>
      <w:r w:rsidR="00C7318C" w:rsidRPr="00350989">
        <w:rPr>
          <w:i/>
        </w:rPr>
        <w:t xml:space="preserve">This report may be updated </w:t>
      </w:r>
      <w:r w:rsidR="00995463" w:rsidRPr="00350989">
        <w:rPr>
          <w:i/>
        </w:rPr>
        <w:t>as</w:t>
      </w:r>
      <w:r w:rsidR="00C7318C" w:rsidRPr="00350989">
        <w:rPr>
          <w:i/>
        </w:rPr>
        <w:t xml:space="preserve"> </w:t>
      </w:r>
      <w:r w:rsidR="00D70FF0" w:rsidRPr="00350989">
        <w:rPr>
          <w:i/>
        </w:rPr>
        <w:t xml:space="preserve">new data </w:t>
      </w:r>
      <w:r w:rsidRPr="00350989">
        <w:rPr>
          <w:i/>
        </w:rPr>
        <w:t>become</w:t>
      </w:r>
      <w:r w:rsidR="00C7318C" w:rsidRPr="00350989">
        <w:rPr>
          <w:i/>
        </w:rPr>
        <w:t>s</w:t>
      </w:r>
      <w:r w:rsidRPr="00350989">
        <w:rPr>
          <w:i/>
        </w:rPr>
        <w:t xml:space="preserve"> available.</w:t>
      </w:r>
    </w:p>
    <w:p w14:paraId="38D1A09C" w14:textId="77777777" w:rsidR="0065380E" w:rsidRPr="00350989" w:rsidRDefault="0065380E" w:rsidP="000D7F61">
      <w:pPr>
        <w:spacing w:after="0"/>
      </w:pPr>
    </w:p>
    <w:p w14:paraId="5D0B4441" w14:textId="0007311B" w:rsidR="0065380E" w:rsidRPr="00350989" w:rsidRDefault="0065380E" w:rsidP="000D7F61">
      <w:pPr>
        <w:spacing w:after="0"/>
      </w:pPr>
    </w:p>
    <w:p w14:paraId="14466BAD" w14:textId="1EE8A29F" w:rsidR="0065380E" w:rsidRPr="00350989" w:rsidRDefault="003E4D02" w:rsidP="000D7F61">
      <w:pPr>
        <w:spacing w:after="0"/>
      </w:pPr>
      <w:r>
        <w:rPr>
          <w:noProof/>
          <w:lang w:val="nl-NL" w:eastAsia="nl-NL"/>
        </w:rPr>
        <w:drawing>
          <wp:anchor distT="0" distB="0" distL="114300" distR="114300" simplePos="0" relativeHeight="251659264" behindDoc="1" locked="0" layoutInCell="1" allowOverlap="1" wp14:anchorId="7D4F925D" wp14:editId="116C7053">
            <wp:simplePos x="0" y="0"/>
            <wp:positionH relativeFrom="column">
              <wp:posOffset>67235</wp:posOffset>
            </wp:positionH>
            <wp:positionV relativeFrom="paragraph">
              <wp:posOffset>175895</wp:posOffset>
            </wp:positionV>
            <wp:extent cx="910800" cy="514800"/>
            <wp:effectExtent l="0" t="0" r="3810" b="0"/>
            <wp:wrapTight wrapText="bothSides">
              <wp:wrapPolygon edited="0">
                <wp:start x="0" y="0"/>
                <wp:lineTo x="0" y="20800"/>
                <wp:lineTo x="21238" y="20800"/>
                <wp:lineTo x="21238" y="0"/>
                <wp:lineTo x="0" y="0"/>
              </wp:wrapPolygon>
            </wp:wrapTight>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logo 2017.jpg"/>
                    <pic:cNvPicPr preferRelativeResize="0"/>
                  </pic:nvPicPr>
                  <pic:blipFill>
                    <a:blip r:embed="rId10" cstate="print">
                      <a:extLst>
                        <a:ext uri="{28A0092B-C50C-407E-A947-70E740481C1C}">
                          <a14:useLocalDpi xmlns:a14="http://schemas.microsoft.com/office/drawing/2010/main" val="0"/>
                        </a:ext>
                      </a:extLst>
                    </a:blip>
                    <a:stretch>
                      <a:fillRect/>
                    </a:stretch>
                  </pic:blipFill>
                  <pic:spPr>
                    <a:xfrm>
                      <a:off x="0" y="0"/>
                      <a:ext cx="910800" cy="514800"/>
                    </a:xfrm>
                    <a:prstGeom prst="rect">
                      <a:avLst/>
                    </a:prstGeom>
                  </pic:spPr>
                </pic:pic>
              </a:graphicData>
            </a:graphic>
          </wp:anchor>
        </w:drawing>
      </w:r>
      <w:r w:rsidR="00AA489E" w:rsidRPr="00350989">
        <w:rPr>
          <w:noProof/>
          <w:lang w:val="nl-NL" w:eastAsia="nl-NL"/>
        </w:rPr>
        <w:drawing>
          <wp:anchor distT="0" distB="0" distL="114300" distR="114300" simplePos="0" relativeHeight="251658240" behindDoc="1" locked="0" layoutInCell="1" allowOverlap="1" wp14:anchorId="16320FE2" wp14:editId="60A24B72">
            <wp:simplePos x="0" y="0"/>
            <wp:positionH relativeFrom="column">
              <wp:posOffset>4250055</wp:posOffset>
            </wp:positionH>
            <wp:positionV relativeFrom="paragraph">
              <wp:posOffset>86995</wp:posOffset>
            </wp:positionV>
            <wp:extent cx="1432560" cy="601980"/>
            <wp:effectExtent l="0" t="0" r="0" b="7620"/>
            <wp:wrapTight wrapText="bothSides">
              <wp:wrapPolygon edited="0">
                <wp:start x="0" y="0"/>
                <wp:lineTo x="0" y="21190"/>
                <wp:lineTo x="21255" y="21190"/>
                <wp:lineTo x="21255" y="0"/>
                <wp:lineTo x="0" y="0"/>
              </wp:wrapPolygon>
            </wp:wrapTight>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2560" cy="601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9D7B33" w14:textId="25DCB3C0" w:rsidR="003E7EC1" w:rsidRPr="00350989" w:rsidRDefault="0065380E" w:rsidP="000D7F61">
      <w:pPr>
        <w:spacing w:after="0"/>
        <w:ind w:firstLine="720"/>
      </w:pPr>
      <w:r w:rsidRPr="00350989">
        <w:t xml:space="preserve"> </w:t>
      </w:r>
      <w:r w:rsidRPr="00350989">
        <w:tab/>
      </w:r>
      <w:r w:rsidRPr="00350989">
        <w:tab/>
      </w:r>
      <w:r w:rsidRPr="00350989">
        <w:tab/>
      </w:r>
      <w:r w:rsidRPr="00350989">
        <w:tab/>
      </w:r>
      <w:r w:rsidRPr="00350989">
        <w:tab/>
      </w:r>
      <w:r w:rsidRPr="00350989">
        <w:tab/>
      </w:r>
      <w:r w:rsidRPr="00350989">
        <w:tab/>
        <w:t xml:space="preserve"> </w:t>
      </w:r>
    </w:p>
    <w:p w14:paraId="708C4BEF" w14:textId="29E982F5" w:rsidR="003E7EC1" w:rsidRPr="00350989" w:rsidRDefault="003E7EC1" w:rsidP="000D7F61">
      <w:pPr>
        <w:spacing w:after="0"/>
        <w:rPr>
          <w:b/>
        </w:rPr>
      </w:pPr>
      <w:bookmarkStart w:id="0" w:name="_GoBack"/>
      <w:bookmarkEnd w:id="0"/>
      <w:r w:rsidRPr="00350989">
        <w:br w:type="page"/>
      </w:r>
      <w:r w:rsidR="00257B89" w:rsidRPr="00350989">
        <w:rPr>
          <w:b/>
        </w:rPr>
        <w:lastRenderedPageBreak/>
        <w:t>C</w:t>
      </w:r>
      <w:r w:rsidR="003232CD" w:rsidRPr="00350989">
        <w:rPr>
          <w:b/>
        </w:rPr>
        <w:t>ontents</w:t>
      </w:r>
    </w:p>
    <w:p w14:paraId="514A0C21" w14:textId="77777777" w:rsidR="003232CD" w:rsidRPr="00350989" w:rsidRDefault="003232CD" w:rsidP="000D7F61">
      <w:pPr>
        <w:spacing w:after="0"/>
      </w:pPr>
    </w:p>
    <w:p w14:paraId="2AC5B390" w14:textId="2604A541" w:rsidR="008F156B" w:rsidRDefault="00DC02E6">
      <w:pPr>
        <w:pStyle w:val="TOC1"/>
        <w:tabs>
          <w:tab w:val="right" w:leader="dot" w:pos="9060"/>
        </w:tabs>
        <w:rPr>
          <w:rFonts w:asciiTheme="minorHAnsi" w:eastAsiaTheme="minorEastAsia" w:hAnsiTheme="minorHAnsi" w:cstheme="minorBidi"/>
          <w:noProof/>
          <w:sz w:val="22"/>
          <w:szCs w:val="22"/>
          <w:lang w:val="nl-NL" w:eastAsia="nl-NL"/>
        </w:rPr>
      </w:pPr>
      <w:r w:rsidRPr="00350989">
        <w:fldChar w:fldCharType="begin"/>
      </w:r>
      <w:r w:rsidRPr="00350989">
        <w:instrText xml:space="preserve"> TOC \o "1-3" \h \z \u </w:instrText>
      </w:r>
      <w:r w:rsidRPr="00350989">
        <w:fldChar w:fldCharType="separate"/>
      </w:r>
      <w:hyperlink w:anchor="_Toc483409951" w:history="1">
        <w:r w:rsidR="008F156B" w:rsidRPr="009D06C6">
          <w:rPr>
            <w:rStyle w:val="Hyperlink"/>
            <w:noProof/>
          </w:rPr>
          <w:t>1</w:t>
        </w:r>
        <w:r w:rsidR="008F156B">
          <w:rPr>
            <w:rFonts w:asciiTheme="minorHAnsi" w:eastAsiaTheme="minorEastAsia" w:hAnsiTheme="minorHAnsi" w:cstheme="minorBidi"/>
            <w:noProof/>
            <w:sz w:val="22"/>
            <w:szCs w:val="22"/>
            <w:lang w:val="nl-NL" w:eastAsia="nl-NL"/>
          </w:rPr>
          <w:tab/>
        </w:r>
        <w:r w:rsidR="008F156B" w:rsidRPr="009D06C6">
          <w:rPr>
            <w:rStyle w:val="Hyperlink"/>
            <w:noProof/>
          </w:rPr>
          <w:t>Summary of the overall situation and challenges</w:t>
        </w:r>
        <w:r w:rsidR="008F156B">
          <w:rPr>
            <w:noProof/>
            <w:webHidden/>
          </w:rPr>
          <w:tab/>
        </w:r>
        <w:r w:rsidR="008F156B">
          <w:rPr>
            <w:noProof/>
            <w:webHidden/>
          </w:rPr>
          <w:fldChar w:fldCharType="begin"/>
        </w:r>
        <w:r w:rsidR="008F156B">
          <w:rPr>
            <w:noProof/>
            <w:webHidden/>
          </w:rPr>
          <w:instrText xml:space="preserve"> PAGEREF _Toc483409951 \h </w:instrText>
        </w:r>
        <w:r w:rsidR="008F156B">
          <w:rPr>
            <w:noProof/>
            <w:webHidden/>
          </w:rPr>
        </w:r>
        <w:r w:rsidR="008F156B">
          <w:rPr>
            <w:noProof/>
            <w:webHidden/>
          </w:rPr>
          <w:fldChar w:fldCharType="separate"/>
        </w:r>
        <w:r w:rsidR="008F156B">
          <w:rPr>
            <w:noProof/>
            <w:webHidden/>
          </w:rPr>
          <w:t>2</w:t>
        </w:r>
        <w:r w:rsidR="008F156B">
          <w:rPr>
            <w:noProof/>
            <w:webHidden/>
          </w:rPr>
          <w:fldChar w:fldCharType="end"/>
        </w:r>
      </w:hyperlink>
    </w:p>
    <w:p w14:paraId="7D865275" w14:textId="26CA7C57" w:rsidR="008F156B" w:rsidRDefault="003E4D02">
      <w:pPr>
        <w:pStyle w:val="TOC1"/>
        <w:tabs>
          <w:tab w:val="right" w:leader="dot" w:pos="9060"/>
        </w:tabs>
        <w:rPr>
          <w:rFonts w:asciiTheme="minorHAnsi" w:eastAsiaTheme="minorEastAsia" w:hAnsiTheme="minorHAnsi" w:cstheme="minorBidi"/>
          <w:noProof/>
          <w:sz w:val="22"/>
          <w:szCs w:val="22"/>
          <w:lang w:val="nl-NL" w:eastAsia="nl-NL"/>
        </w:rPr>
      </w:pPr>
      <w:hyperlink w:anchor="_Toc483409952" w:history="1">
        <w:r w:rsidR="008F156B" w:rsidRPr="009D06C6">
          <w:rPr>
            <w:rStyle w:val="Hyperlink"/>
            <w:noProof/>
          </w:rPr>
          <w:t>2</w:t>
        </w:r>
        <w:r w:rsidR="008F156B">
          <w:rPr>
            <w:rFonts w:asciiTheme="minorHAnsi" w:eastAsiaTheme="minorEastAsia" w:hAnsiTheme="minorHAnsi" w:cstheme="minorBidi"/>
            <w:noProof/>
            <w:sz w:val="22"/>
            <w:szCs w:val="22"/>
            <w:lang w:val="nl-NL" w:eastAsia="nl-NL"/>
          </w:rPr>
          <w:tab/>
        </w:r>
        <w:r w:rsidR="008F156B" w:rsidRPr="009D06C6">
          <w:rPr>
            <w:rStyle w:val="Hyperlink"/>
            <w:noProof/>
          </w:rPr>
          <w:t>Assessment of the situation of disabled people with respect to the Europe 2020 headline targets</w:t>
        </w:r>
        <w:r w:rsidR="008F156B">
          <w:rPr>
            <w:noProof/>
            <w:webHidden/>
          </w:rPr>
          <w:tab/>
        </w:r>
        <w:r w:rsidR="008F156B">
          <w:rPr>
            <w:noProof/>
            <w:webHidden/>
          </w:rPr>
          <w:fldChar w:fldCharType="begin"/>
        </w:r>
        <w:r w:rsidR="008F156B">
          <w:rPr>
            <w:noProof/>
            <w:webHidden/>
          </w:rPr>
          <w:instrText xml:space="preserve"> PAGEREF _Toc483409952 \h </w:instrText>
        </w:r>
        <w:r w:rsidR="008F156B">
          <w:rPr>
            <w:noProof/>
            <w:webHidden/>
          </w:rPr>
        </w:r>
        <w:r w:rsidR="008F156B">
          <w:rPr>
            <w:noProof/>
            <w:webHidden/>
          </w:rPr>
          <w:fldChar w:fldCharType="separate"/>
        </w:r>
        <w:r w:rsidR="008F156B">
          <w:rPr>
            <w:noProof/>
            <w:webHidden/>
          </w:rPr>
          <w:t>4</w:t>
        </w:r>
        <w:r w:rsidR="008F156B">
          <w:rPr>
            <w:noProof/>
            <w:webHidden/>
          </w:rPr>
          <w:fldChar w:fldCharType="end"/>
        </w:r>
      </w:hyperlink>
    </w:p>
    <w:p w14:paraId="251646B8" w14:textId="4A075248" w:rsidR="008F156B" w:rsidRDefault="003E4D02">
      <w:pPr>
        <w:pStyle w:val="TOC2"/>
        <w:tabs>
          <w:tab w:val="left" w:pos="1134"/>
          <w:tab w:val="right" w:leader="dot" w:pos="9060"/>
        </w:tabs>
        <w:rPr>
          <w:rFonts w:asciiTheme="minorHAnsi" w:eastAsiaTheme="minorEastAsia" w:hAnsiTheme="minorHAnsi" w:cstheme="minorBidi"/>
          <w:noProof/>
          <w:sz w:val="22"/>
          <w:szCs w:val="22"/>
          <w:lang w:val="nl-NL" w:eastAsia="nl-NL"/>
        </w:rPr>
      </w:pPr>
      <w:hyperlink w:anchor="_Toc483409953" w:history="1">
        <w:r w:rsidR="008F156B" w:rsidRPr="009D06C6">
          <w:rPr>
            <w:rStyle w:val="Hyperlink"/>
            <w:noProof/>
          </w:rPr>
          <w:t>2.1</w:t>
        </w:r>
        <w:r w:rsidR="008F156B">
          <w:rPr>
            <w:rFonts w:asciiTheme="minorHAnsi" w:eastAsiaTheme="minorEastAsia" w:hAnsiTheme="minorHAnsi" w:cstheme="minorBidi"/>
            <w:noProof/>
            <w:sz w:val="22"/>
            <w:szCs w:val="22"/>
            <w:lang w:val="nl-NL" w:eastAsia="nl-NL"/>
          </w:rPr>
          <w:tab/>
        </w:r>
        <w:r w:rsidR="008F156B" w:rsidRPr="009D06C6">
          <w:rPr>
            <w:rStyle w:val="Hyperlink"/>
            <w:noProof/>
          </w:rPr>
          <w:t>Strategic targets</w:t>
        </w:r>
        <w:r w:rsidR="008F156B">
          <w:rPr>
            <w:noProof/>
            <w:webHidden/>
          </w:rPr>
          <w:tab/>
        </w:r>
        <w:r w:rsidR="008F156B">
          <w:rPr>
            <w:noProof/>
            <w:webHidden/>
          </w:rPr>
          <w:fldChar w:fldCharType="begin"/>
        </w:r>
        <w:r w:rsidR="008F156B">
          <w:rPr>
            <w:noProof/>
            <w:webHidden/>
          </w:rPr>
          <w:instrText xml:space="preserve"> PAGEREF _Toc483409953 \h </w:instrText>
        </w:r>
        <w:r w:rsidR="008F156B">
          <w:rPr>
            <w:noProof/>
            <w:webHidden/>
          </w:rPr>
        </w:r>
        <w:r w:rsidR="008F156B">
          <w:rPr>
            <w:noProof/>
            <w:webHidden/>
          </w:rPr>
          <w:fldChar w:fldCharType="separate"/>
        </w:r>
        <w:r w:rsidR="008F156B">
          <w:rPr>
            <w:noProof/>
            <w:webHidden/>
          </w:rPr>
          <w:t>4</w:t>
        </w:r>
        <w:r w:rsidR="008F156B">
          <w:rPr>
            <w:noProof/>
            <w:webHidden/>
          </w:rPr>
          <w:fldChar w:fldCharType="end"/>
        </w:r>
      </w:hyperlink>
    </w:p>
    <w:p w14:paraId="62A3D031" w14:textId="14881B92" w:rsidR="008F156B" w:rsidRDefault="003E4D02">
      <w:pPr>
        <w:pStyle w:val="TOC3"/>
        <w:tabs>
          <w:tab w:val="left" w:pos="1985"/>
          <w:tab w:val="right" w:leader="dot" w:pos="9060"/>
        </w:tabs>
        <w:rPr>
          <w:rFonts w:asciiTheme="minorHAnsi" w:eastAsiaTheme="minorEastAsia" w:hAnsiTheme="minorHAnsi" w:cstheme="minorBidi"/>
          <w:noProof/>
          <w:sz w:val="22"/>
          <w:szCs w:val="22"/>
          <w:lang w:val="nl-NL" w:eastAsia="nl-NL"/>
        </w:rPr>
      </w:pPr>
      <w:hyperlink w:anchor="_Toc483409954" w:history="1">
        <w:r w:rsidR="008F156B" w:rsidRPr="009D06C6">
          <w:rPr>
            <w:rStyle w:val="Hyperlink"/>
            <w:noProof/>
          </w:rPr>
          <w:t>2.1.1</w:t>
        </w:r>
        <w:r w:rsidR="008F156B">
          <w:rPr>
            <w:rFonts w:asciiTheme="minorHAnsi" w:eastAsiaTheme="minorEastAsia" w:hAnsiTheme="minorHAnsi" w:cstheme="minorBidi"/>
            <w:noProof/>
            <w:sz w:val="22"/>
            <w:szCs w:val="22"/>
            <w:lang w:val="nl-NL" w:eastAsia="nl-NL"/>
          </w:rPr>
          <w:tab/>
        </w:r>
        <w:r w:rsidR="008F156B" w:rsidRPr="009D06C6">
          <w:rPr>
            <w:rStyle w:val="Hyperlink"/>
            <w:noProof/>
          </w:rPr>
          <w:t>A note on the use of EU data</w:t>
        </w:r>
        <w:r w:rsidR="008F156B">
          <w:rPr>
            <w:noProof/>
            <w:webHidden/>
          </w:rPr>
          <w:tab/>
        </w:r>
        <w:r w:rsidR="008F156B">
          <w:rPr>
            <w:noProof/>
            <w:webHidden/>
          </w:rPr>
          <w:fldChar w:fldCharType="begin"/>
        </w:r>
        <w:r w:rsidR="008F156B">
          <w:rPr>
            <w:noProof/>
            <w:webHidden/>
          </w:rPr>
          <w:instrText xml:space="preserve"> PAGEREF _Toc483409954 \h </w:instrText>
        </w:r>
        <w:r w:rsidR="008F156B">
          <w:rPr>
            <w:noProof/>
            <w:webHidden/>
          </w:rPr>
        </w:r>
        <w:r w:rsidR="008F156B">
          <w:rPr>
            <w:noProof/>
            <w:webHidden/>
          </w:rPr>
          <w:fldChar w:fldCharType="separate"/>
        </w:r>
        <w:r w:rsidR="008F156B">
          <w:rPr>
            <w:noProof/>
            <w:webHidden/>
          </w:rPr>
          <w:t>5</w:t>
        </w:r>
        <w:r w:rsidR="008F156B">
          <w:rPr>
            <w:noProof/>
            <w:webHidden/>
          </w:rPr>
          <w:fldChar w:fldCharType="end"/>
        </w:r>
      </w:hyperlink>
    </w:p>
    <w:p w14:paraId="4176CF5A" w14:textId="2057E3C8" w:rsidR="008F156B" w:rsidRDefault="003E4D02">
      <w:pPr>
        <w:pStyle w:val="TOC2"/>
        <w:tabs>
          <w:tab w:val="left" w:pos="1134"/>
          <w:tab w:val="right" w:leader="dot" w:pos="9060"/>
        </w:tabs>
        <w:rPr>
          <w:rFonts w:asciiTheme="minorHAnsi" w:eastAsiaTheme="minorEastAsia" w:hAnsiTheme="minorHAnsi" w:cstheme="minorBidi"/>
          <w:noProof/>
          <w:sz w:val="22"/>
          <w:szCs w:val="22"/>
          <w:lang w:val="nl-NL" w:eastAsia="nl-NL"/>
        </w:rPr>
      </w:pPr>
      <w:hyperlink w:anchor="_Toc483409955" w:history="1">
        <w:r w:rsidR="008F156B" w:rsidRPr="009D06C6">
          <w:rPr>
            <w:rStyle w:val="Hyperlink"/>
            <w:noProof/>
          </w:rPr>
          <w:t>2.2</w:t>
        </w:r>
        <w:r w:rsidR="008F156B">
          <w:rPr>
            <w:rFonts w:asciiTheme="minorHAnsi" w:eastAsiaTheme="minorEastAsia" w:hAnsiTheme="minorHAnsi" w:cstheme="minorBidi"/>
            <w:noProof/>
            <w:sz w:val="22"/>
            <w:szCs w:val="22"/>
            <w:lang w:val="nl-NL" w:eastAsia="nl-NL"/>
          </w:rPr>
          <w:tab/>
        </w:r>
        <w:r w:rsidR="008F156B" w:rsidRPr="009D06C6">
          <w:rPr>
            <w:rStyle w:val="Hyperlink"/>
            <w:noProof/>
          </w:rPr>
          <w:t>Employment data</w:t>
        </w:r>
        <w:r w:rsidR="008F156B">
          <w:rPr>
            <w:noProof/>
            <w:webHidden/>
          </w:rPr>
          <w:tab/>
        </w:r>
        <w:r w:rsidR="008F156B">
          <w:rPr>
            <w:noProof/>
            <w:webHidden/>
          </w:rPr>
          <w:fldChar w:fldCharType="begin"/>
        </w:r>
        <w:r w:rsidR="008F156B">
          <w:rPr>
            <w:noProof/>
            <w:webHidden/>
          </w:rPr>
          <w:instrText xml:space="preserve"> PAGEREF _Toc483409955 \h </w:instrText>
        </w:r>
        <w:r w:rsidR="008F156B">
          <w:rPr>
            <w:noProof/>
            <w:webHidden/>
          </w:rPr>
        </w:r>
        <w:r w:rsidR="008F156B">
          <w:rPr>
            <w:noProof/>
            <w:webHidden/>
          </w:rPr>
          <w:fldChar w:fldCharType="separate"/>
        </w:r>
        <w:r w:rsidR="008F156B">
          <w:rPr>
            <w:noProof/>
            <w:webHidden/>
          </w:rPr>
          <w:t>7</w:t>
        </w:r>
        <w:r w:rsidR="008F156B">
          <w:rPr>
            <w:noProof/>
            <w:webHidden/>
          </w:rPr>
          <w:fldChar w:fldCharType="end"/>
        </w:r>
      </w:hyperlink>
    </w:p>
    <w:p w14:paraId="05FD8A96" w14:textId="40D6092E" w:rsidR="008F156B" w:rsidRDefault="003E4D02">
      <w:pPr>
        <w:pStyle w:val="TOC3"/>
        <w:tabs>
          <w:tab w:val="left" w:pos="1985"/>
          <w:tab w:val="right" w:leader="dot" w:pos="9060"/>
        </w:tabs>
        <w:rPr>
          <w:rFonts w:asciiTheme="minorHAnsi" w:eastAsiaTheme="minorEastAsia" w:hAnsiTheme="minorHAnsi" w:cstheme="minorBidi"/>
          <w:noProof/>
          <w:sz w:val="22"/>
          <w:szCs w:val="22"/>
          <w:lang w:val="nl-NL" w:eastAsia="nl-NL"/>
        </w:rPr>
      </w:pPr>
      <w:hyperlink w:anchor="_Toc483409956" w:history="1">
        <w:r w:rsidR="008F156B" w:rsidRPr="009D06C6">
          <w:rPr>
            <w:rStyle w:val="Hyperlink"/>
            <w:noProof/>
          </w:rPr>
          <w:t>2.2.1</w:t>
        </w:r>
        <w:r w:rsidR="008F156B">
          <w:rPr>
            <w:rFonts w:asciiTheme="minorHAnsi" w:eastAsiaTheme="minorEastAsia" w:hAnsiTheme="minorHAnsi" w:cstheme="minorBidi"/>
            <w:noProof/>
            <w:sz w:val="22"/>
            <w:szCs w:val="22"/>
            <w:lang w:val="nl-NL" w:eastAsia="nl-NL"/>
          </w:rPr>
          <w:tab/>
        </w:r>
        <w:r w:rsidR="008F156B" w:rsidRPr="009D06C6">
          <w:rPr>
            <w:rStyle w:val="Hyperlink"/>
            <w:noProof/>
          </w:rPr>
          <w:t>Unemployment</w:t>
        </w:r>
        <w:r w:rsidR="008F156B">
          <w:rPr>
            <w:noProof/>
            <w:webHidden/>
          </w:rPr>
          <w:tab/>
        </w:r>
        <w:r w:rsidR="008F156B">
          <w:rPr>
            <w:noProof/>
            <w:webHidden/>
          </w:rPr>
          <w:fldChar w:fldCharType="begin"/>
        </w:r>
        <w:r w:rsidR="008F156B">
          <w:rPr>
            <w:noProof/>
            <w:webHidden/>
          </w:rPr>
          <w:instrText xml:space="preserve"> PAGEREF _Toc483409956 \h </w:instrText>
        </w:r>
        <w:r w:rsidR="008F156B">
          <w:rPr>
            <w:noProof/>
            <w:webHidden/>
          </w:rPr>
        </w:r>
        <w:r w:rsidR="008F156B">
          <w:rPr>
            <w:noProof/>
            <w:webHidden/>
          </w:rPr>
          <w:fldChar w:fldCharType="separate"/>
        </w:r>
        <w:r w:rsidR="008F156B">
          <w:rPr>
            <w:noProof/>
            <w:webHidden/>
          </w:rPr>
          <w:t>9</w:t>
        </w:r>
        <w:r w:rsidR="008F156B">
          <w:rPr>
            <w:noProof/>
            <w:webHidden/>
          </w:rPr>
          <w:fldChar w:fldCharType="end"/>
        </w:r>
      </w:hyperlink>
    </w:p>
    <w:p w14:paraId="6ABA5CA1" w14:textId="1552E04E" w:rsidR="008F156B" w:rsidRDefault="003E4D02">
      <w:pPr>
        <w:pStyle w:val="TOC3"/>
        <w:tabs>
          <w:tab w:val="left" w:pos="1985"/>
          <w:tab w:val="right" w:leader="dot" w:pos="9060"/>
        </w:tabs>
        <w:rPr>
          <w:rFonts w:asciiTheme="minorHAnsi" w:eastAsiaTheme="minorEastAsia" w:hAnsiTheme="minorHAnsi" w:cstheme="minorBidi"/>
          <w:noProof/>
          <w:sz w:val="22"/>
          <w:szCs w:val="22"/>
          <w:lang w:val="nl-NL" w:eastAsia="nl-NL"/>
        </w:rPr>
      </w:pPr>
      <w:hyperlink w:anchor="_Toc483409957" w:history="1">
        <w:r w:rsidR="008F156B" w:rsidRPr="009D06C6">
          <w:rPr>
            <w:rStyle w:val="Hyperlink"/>
            <w:noProof/>
          </w:rPr>
          <w:t>2.2.2</w:t>
        </w:r>
        <w:r w:rsidR="008F156B">
          <w:rPr>
            <w:rFonts w:asciiTheme="minorHAnsi" w:eastAsiaTheme="minorEastAsia" w:hAnsiTheme="minorHAnsi" w:cstheme="minorBidi"/>
            <w:noProof/>
            <w:sz w:val="22"/>
            <w:szCs w:val="22"/>
            <w:lang w:val="nl-NL" w:eastAsia="nl-NL"/>
          </w:rPr>
          <w:tab/>
        </w:r>
        <w:r w:rsidR="008F156B" w:rsidRPr="009D06C6">
          <w:rPr>
            <w:rStyle w:val="Hyperlink"/>
            <w:noProof/>
          </w:rPr>
          <w:t>Economic activity</w:t>
        </w:r>
        <w:r w:rsidR="008F156B">
          <w:rPr>
            <w:noProof/>
            <w:webHidden/>
          </w:rPr>
          <w:tab/>
        </w:r>
        <w:r w:rsidR="008F156B">
          <w:rPr>
            <w:noProof/>
            <w:webHidden/>
          </w:rPr>
          <w:fldChar w:fldCharType="begin"/>
        </w:r>
        <w:r w:rsidR="008F156B">
          <w:rPr>
            <w:noProof/>
            <w:webHidden/>
          </w:rPr>
          <w:instrText xml:space="preserve"> PAGEREF _Toc483409957 \h </w:instrText>
        </w:r>
        <w:r w:rsidR="008F156B">
          <w:rPr>
            <w:noProof/>
            <w:webHidden/>
          </w:rPr>
        </w:r>
        <w:r w:rsidR="008F156B">
          <w:rPr>
            <w:noProof/>
            <w:webHidden/>
          </w:rPr>
          <w:fldChar w:fldCharType="separate"/>
        </w:r>
        <w:r w:rsidR="008F156B">
          <w:rPr>
            <w:noProof/>
            <w:webHidden/>
          </w:rPr>
          <w:t>12</w:t>
        </w:r>
        <w:r w:rsidR="008F156B">
          <w:rPr>
            <w:noProof/>
            <w:webHidden/>
          </w:rPr>
          <w:fldChar w:fldCharType="end"/>
        </w:r>
      </w:hyperlink>
    </w:p>
    <w:p w14:paraId="0A8078EA" w14:textId="15DB7EC7" w:rsidR="008F156B" w:rsidRDefault="003E4D02">
      <w:pPr>
        <w:pStyle w:val="TOC2"/>
        <w:tabs>
          <w:tab w:val="left" w:pos="1134"/>
          <w:tab w:val="right" w:leader="dot" w:pos="9060"/>
        </w:tabs>
        <w:rPr>
          <w:rFonts w:asciiTheme="minorHAnsi" w:eastAsiaTheme="minorEastAsia" w:hAnsiTheme="minorHAnsi" w:cstheme="minorBidi"/>
          <w:noProof/>
          <w:sz w:val="22"/>
          <w:szCs w:val="22"/>
          <w:lang w:val="nl-NL" w:eastAsia="nl-NL"/>
        </w:rPr>
      </w:pPr>
      <w:hyperlink w:anchor="_Toc483409958" w:history="1">
        <w:r w:rsidR="008F156B" w:rsidRPr="009D06C6">
          <w:rPr>
            <w:rStyle w:val="Hyperlink"/>
            <w:noProof/>
          </w:rPr>
          <w:t>2.3</w:t>
        </w:r>
        <w:r w:rsidR="008F156B">
          <w:rPr>
            <w:rFonts w:asciiTheme="minorHAnsi" w:eastAsiaTheme="minorEastAsia" w:hAnsiTheme="minorHAnsi" w:cstheme="minorBidi"/>
            <w:noProof/>
            <w:sz w:val="22"/>
            <w:szCs w:val="22"/>
            <w:lang w:val="nl-NL" w:eastAsia="nl-NL"/>
          </w:rPr>
          <w:tab/>
        </w:r>
        <w:r w:rsidR="008F156B" w:rsidRPr="009D06C6">
          <w:rPr>
            <w:rStyle w:val="Hyperlink"/>
            <w:noProof/>
          </w:rPr>
          <w:t>Education data</w:t>
        </w:r>
        <w:r w:rsidR="008F156B">
          <w:rPr>
            <w:noProof/>
            <w:webHidden/>
          </w:rPr>
          <w:tab/>
        </w:r>
        <w:r w:rsidR="008F156B">
          <w:rPr>
            <w:noProof/>
            <w:webHidden/>
          </w:rPr>
          <w:fldChar w:fldCharType="begin"/>
        </w:r>
        <w:r w:rsidR="008F156B">
          <w:rPr>
            <w:noProof/>
            <w:webHidden/>
          </w:rPr>
          <w:instrText xml:space="preserve"> PAGEREF _Toc483409958 \h </w:instrText>
        </w:r>
        <w:r w:rsidR="008F156B">
          <w:rPr>
            <w:noProof/>
            <w:webHidden/>
          </w:rPr>
        </w:r>
        <w:r w:rsidR="008F156B">
          <w:rPr>
            <w:noProof/>
            <w:webHidden/>
          </w:rPr>
          <w:fldChar w:fldCharType="separate"/>
        </w:r>
        <w:r w:rsidR="008F156B">
          <w:rPr>
            <w:noProof/>
            <w:webHidden/>
          </w:rPr>
          <w:t>13</w:t>
        </w:r>
        <w:r w:rsidR="008F156B">
          <w:rPr>
            <w:noProof/>
            <w:webHidden/>
          </w:rPr>
          <w:fldChar w:fldCharType="end"/>
        </w:r>
      </w:hyperlink>
    </w:p>
    <w:p w14:paraId="7DAB561C" w14:textId="2DAF4C32" w:rsidR="008F156B" w:rsidRDefault="003E4D02">
      <w:pPr>
        <w:pStyle w:val="TOC3"/>
        <w:tabs>
          <w:tab w:val="left" w:pos="1985"/>
          <w:tab w:val="right" w:leader="dot" w:pos="9060"/>
        </w:tabs>
        <w:rPr>
          <w:rFonts w:asciiTheme="minorHAnsi" w:eastAsiaTheme="minorEastAsia" w:hAnsiTheme="minorHAnsi" w:cstheme="minorBidi"/>
          <w:noProof/>
          <w:sz w:val="22"/>
          <w:szCs w:val="22"/>
          <w:lang w:val="nl-NL" w:eastAsia="nl-NL"/>
        </w:rPr>
      </w:pPr>
      <w:hyperlink w:anchor="_Toc483409959" w:history="1">
        <w:r w:rsidR="008F156B" w:rsidRPr="009D06C6">
          <w:rPr>
            <w:rStyle w:val="Hyperlink"/>
            <w:noProof/>
          </w:rPr>
          <w:t>2.3.1</w:t>
        </w:r>
        <w:r w:rsidR="008F156B">
          <w:rPr>
            <w:rFonts w:asciiTheme="minorHAnsi" w:eastAsiaTheme="minorEastAsia" w:hAnsiTheme="minorHAnsi" w:cstheme="minorBidi"/>
            <w:noProof/>
            <w:sz w:val="22"/>
            <w:szCs w:val="22"/>
            <w:lang w:val="nl-NL" w:eastAsia="nl-NL"/>
          </w:rPr>
          <w:tab/>
        </w:r>
        <w:r w:rsidR="008F156B" w:rsidRPr="009D06C6">
          <w:rPr>
            <w:rStyle w:val="Hyperlink"/>
            <w:noProof/>
          </w:rPr>
          <w:t>Early school leavers</w:t>
        </w:r>
        <w:r w:rsidR="008F156B">
          <w:rPr>
            <w:noProof/>
            <w:webHidden/>
          </w:rPr>
          <w:tab/>
        </w:r>
        <w:r w:rsidR="008F156B">
          <w:rPr>
            <w:noProof/>
            <w:webHidden/>
          </w:rPr>
          <w:fldChar w:fldCharType="begin"/>
        </w:r>
        <w:r w:rsidR="008F156B">
          <w:rPr>
            <w:noProof/>
            <w:webHidden/>
          </w:rPr>
          <w:instrText xml:space="preserve"> PAGEREF _Toc483409959 \h </w:instrText>
        </w:r>
        <w:r w:rsidR="008F156B">
          <w:rPr>
            <w:noProof/>
            <w:webHidden/>
          </w:rPr>
        </w:r>
        <w:r w:rsidR="008F156B">
          <w:rPr>
            <w:noProof/>
            <w:webHidden/>
          </w:rPr>
          <w:fldChar w:fldCharType="separate"/>
        </w:r>
        <w:r w:rsidR="008F156B">
          <w:rPr>
            <w:noProof/>
            <w:webHidden/>
          </w:rPr>
          <w:t>14</w:t>
        </w:r>
        <w:r w:rsidR="008F156B">
          <w:rPr>
            <w:noProof/>
            <w:webHidden/>
          </w:rPr>
          <w:fldChar w:fldCharType="end"/>
        </w:r>
      </w:hyperlink>
    </w:p>
    <w:p w14:paraId="31137DB6" w14:textId="2FFF3A93" w:rsidR="008F156B" w:rsidRDefault="003E4D02">
      <w:pPr>
        <w:pStyle w:val="TOC3"/>
        <w:tabs>
          <w:tab w:val="left" w:pos="1985"/>
          <w:tab w:val="right" w:leader="dot" w:pos="9060"/>
        </w:tabs>
        <w:rPr>
          <w:rFonts w:asciiTheme="minorHAnsi" w:eastAsiaTheme="minorEastAsia" w:hAnsiTheme="minorHAnsi" w:cstheme="minorBidi"/>
          <w:noProof/>
          <w:sz w:val="22"/>
          <w:szCs w:val="22"/>
          <w:lang w:val="nl-NL" w:eastAsia="nl-NL"/>
        </w:rPr>
      </w:pPr>
      <w:hyperlink w:anchor="_Toc483409960" w:history="1">
        <w:r w:rsidR="008F156B" w:rsidRPr="009D06C6">
          <w:rPr>
            <w:rStyle w:val="Hyperlink"/>
            <w:noProof/>
          </w:rPr>
          <w:t>2.3.2</w:t>
        </w:r>
        <w:r w:rsidR="008F156B">
          <w:rPr>
            <w:rFonts w:asciiTheme="minorHAnsi" w:eastAsiaTheme="minorEastAsia" w:hAnsiTheme="minorHAnsi" w:cstheme="minorBidi"/>
            <w:noProof/>
            <w:sz w:val="22"/>
            <w:szCs w:val="22"/>
            <w:lang w:val="nl-NL" w:eastAsia="nl-NL"/>
          </w:rPr>
          <w:tab/>
        </w:r>
        <w:r w:rsidR="008F156B" w:rsidRPr="009D06C6">
          <w:rPr>
            <w:rStyle w:val="Hyperlink"/>
            <w:noProof/>
          </w:rPr>
          <w:t>Tertiary education</w:t>
        </w:r>
        <w:r w:rsidR="008F156B">
          <w:rPr>
            <w:noProof/>
            <w:webHidden/>
          </w:rPr>
          <w:tab/>
        </w:r>
        <w:r w:rsidR="008F156B">
          <w:rPr>
            <w:noProof/>
            <w:webHidden/>
          </w:rPr>
          <w:fldChar w:fldCharType="begin"/>
        </w:r>
        <w:r w:rsidR="008F156B">
          <w:rPr>
            <w:noProof/>
            <w:webHidden/>
          </w:rPr>
          <w:instrText xml:space="preserve"> PAGEREF _Toc483409960 \h </w:instrText>
        </w:r>
        <w:r w:rsidR="008F156B">
          <w:rPr>
            <w:noProof/>
            <w:webHidden/>
          </w:rPr>
        </w:r>
        <w:r w:rsidR="008F156B">
          <w:rPr>
            <w:noProof/>
            <w:webHidden/>
          </w:rPr>
          <w:fldChar w:fldCharType="separate"/>
        </w:r>
        <w:r w:rsidR="008F156B">
          <w:rPr>
            <w:noProof/>
            <w:webHidden/>
          </w:rPr>
          <w:t>14</w:t>
        </w:r>
        <w:r w:rsidR="008F156B">
          <w:rPr>
            <w:noProof/>
            <w:webHidden/>
          </w:rPr>
          <w:fldChar w:fldCharType="end"/>
        </w:r>
      </w:hyperlink>
    </w:p>
    <w:p w14:paraId="53CA8D9A" w14:textId="45700AF9" w:rsidR="008F156B" w:rsidRDefault="003E4D02">
      <w:pPr>
        <w:pStyle w:val="TOC2"/>
        <w:tabs>
          <w:tab w:val="left" w:pos="1134"/>
          <w:tab w:val="right" w:leader="dot" w:pos="9060"/>
        </w:tabs>
        <w:rPr>
          <w:rFonts w:asciiTheme="minorHAnsi" w:eastAsiaTheme="minorEastAsia" w:hAnsiTheme="minorHAnsi" w:cstheme="minorBidi"/>
          <w:noProof/>
          <w:sz w:val="22"/>
          <w:szCs w:val="22"/>
          <w:lang w:val="nl-NL" w:eastAsia="nl-NL"/>
        </w:rPr>
      </w:pPr>
      <w:hyperlink w:anchor="_Toc483409961" w:history="1">
        <w:r w:rsidR="008F156B" w:rsidRPr="009D06C6">
          <w:rPr>
            <w:rStyle w:val="Hyperlink"/>
            <w:noProof/>
          </w:rPr>
          <w:t>2.4</w:t>
        </w:r>
        <w:r w:rsidR="008F156B">
          <w:rPr>
            <w:rFonts w:asciiTheme="minorHAnsi" w:eastAsiaTheme="minorEastAsia" w:hAnsiTheme="minorHAnsi" w:cstheme="minorBidi"/>
            <w:noProof/>
            <w:sz w:val="22"/>
            <w:szCs w:val="22"/>
            <w:lang w:val="nl-NL" w:eastAsia="nl-NL"/>
          </w:rPr>
          <w:tab/>
        </w:r>
        <w:r w:rsidR="008F156B" w:rsidRPr="009D06C6">
          <w:rPr>
            <w:rStyle w:val="Hyperlink"/>
            <w:noProof/>
          </w:rPr>
          <w:t>Poverty and social exclusion data</w:t>
        </w:r>
        <w:r w:rsidR="008F156B">
          <w:rPr>
            <w:noProof/>
            <w:webHidden/>
          </w:rPr>
          <w:tab/>
        </w:r>
        <w:r w:rsidR="008F156B">
          <w:rPr>
            <w:noProof/>
            <w:webHidden/>
          </w:rPr>
          <w:fldChar w:fldCharType="begin"/>
        </w:r>
        <w:r w:rsidR="008F156B">
          <w:rPr>
            <w:noProof/>
            <w:webHidden/>
          </w:rPr>
          <w:instrText xml:space="preserve"> PAGEREF _Toc483409961 \h </w:instrText>
        </w:r>
        <w:r w:rsidR="008F156B">
          <w:rPr>
            <w:noProof/>
            <w:webHidden/>
          </w:rPr>
        </w:r>
        <w:r w:rsidR="008F156B">
          <w:rPr>
            <w:noProof/>
            <w:webHidden/>
          </w:rPr>
          <w:fldChar w:fldCharType="separate"/>
        </w:r>
        <w:r w:rsidR="008F156B">
          <w:rPr>
            <w:noProof/>
            <w:webHidden/>
          </w:rPr>
          <w:t>17</w:t>
        </w:r>
        <w:r w:rsidR="008F156B">
          <w:rPr>
            <w:noProof/>
            <w:webHidden/>
          </w:rPr>
          <w:fldChar w:fldCharType="end"/>
        </w:r>
      </w:hyperlink>
    </w:p>
    <w:p w14:paraId="1CA728A9" w14:textId="73D54283" w:rsidR="008F156B" w:rsidRDefault="003E4D02">
      <w:pPr>
        <w:pStyle w:val="TOC1"/>
        <w:tabs>
          <w:tab w:val="right" w:leader="dot" w:pos="9060"/>
        </w:tabs>
        <w:rPr>
          <w:rFonts w:asciiTheme="minorHAnsi" w:eastAsiaTheme="minorEastAsia" w:hAnsiTheme="minorHAnsi" w:cstheme="minorBidi"/>
          <w:noProof/>
          <w:sz w:val="22"/>
          <w:szCs w:val="22"/>
          <w:lang w:val="nl-NL" w:eastAsia="nl-NL"/>
        </w:rPr>
      </w:pPr>
      <w:hyperlink w:anchor="_Toc483409962" w:history="1">
        <w:r w:rsidR="008F156B" w:rsidRPr="009D06C6">
          <w:rPr>
            <w:rStyle w:val="Hyperlink"/>
            <w:noProof/>
          </w:rPr>
          <w:t>3</w:t>
        </w:r>
        <w:r w:rsidR="008F156B">
          <w:rPr>
            <w:rFonts w:asciiTheme="minorHAnsi" w:eastAsiaTheme="minorEastAsia" w:hAnsiTheme="minorHAnsi" w:cstheme="minorBidi"/>
            <w:noProof/>
            <w:sz w:val="22"/>
            <w:szCs w:val="22"/>
            <w:lang w:val="nl-NL" w:eastAsia="nl-NL"/>
          </w:rPr>
          <w:tab/>
        </w:r>
        <w:r w:rsidR="008F156B" w:rsidRPr="009D06C6">
          <w:rPr>
            <w:rStyle w:val="Hyperlink"/>
            <w:noProof/>
          </w:rPr>
          <w:t>Description of the situation and trends in relation to each target area</w:t>
        </w:r>
        <w:r w:rsidR="008F156B">
          <w:rPr>
            <w:noProof/>
            <w:webHidden/>
          </w:rPr>
          <w:tab/>
        </w:r>
        <w:r w:rsidR="008F156B">
          <w:rPr>
            <w:noProof/>
            <w:webHidden/>
          </w:rPr>
          <w:fldChar w:fldCharType="begin"/>
        </w:r>
        <w:r w:rsidR="008F156B">
          <w:rPr>
            <w:noProof/>
            <w:webHidden/>
          </w:rPr>
          <w:instrText xml:space="preserve"> PAGEREF _Toc483409962 \h </w:instrText>
        </w:r>
        <w:r w:rsidR="008F156B">
          <w:rPr>
            <w:noProof/>
            <w:webHidden/>
          </w:rPr>
        </w:r>
        <w:r w:rsidR="008F156B">
          <w:rPr>
            <w:noProof/>
            <w:webHidden/>
          </w:rPr>
          <w:fldChar w:fldCharType="separate"/>
        </w:r>
        <w:r w:rsidR="008F156B">
          <w:rPr>
            <w:noProof/>
            <w:webHidden/>
          </w:rPr>
          <w:t>21</w:t>
        </w:r>
        <w:r w:rsidR="008F156B">
          <w:rPr>
            <w:noProof/>
            <w:webHidden/>
          </w:rPr>
          <w:fldChar w:fldCharType="end"/>
        </w:r>
      </w:hyperlink>
    </w:p>
    <w:p w14:paraId="53CF9B75" w14:textId="04AC5380" w:rsidR="008F156B" w:rsidRDefault="003E4D02">
      <w:pPr>
        <w:pStyle w:val="TOC2"/>
        <w:tabs>
          <w:tab w:val="left" w:pos="1134"/>
          <w:tab w:val="right" w:leader="dot" w:pos="9060"/>
        </w:tabs>
        <w:rPr>
          <w:rFonts w:asciiTheme="minorHAnsi" w:eastAsiaTheme="minorEastAsia" w:hAnsiTheme="minorHAnsi" w:cstheme="minorBidi"/>
          <w:noProof/>
          <w:sz w:val="22"/>
          <w:szCs w:val="22"/>
          <w:lang w:val="nl-NL" w:eastAsia="nl-NL"/>
        </w:rPr>
      </w:pPr>
      <w:hyperlink w:anchor="_Toc483409963" w:history="1">
        <w:r w:rsidR="008F156B" w:rsidRPr="009D06C6">
          <w:rPr>
            <w:rStyle w:val="Hyperlink"/>
            <w:noProof/>
          </w:rPr>
          <w:t>3.1</w:t>
        </w:r>
        <w:r w:rsidR="008F156B">
          <w:rPr>
            <w:rFonts w:asciiTheme="minorHAnsi" w:eastAsiaTheme="minorEastAsia" w:hAnsiTheme="minorHAnsi" w:cstheme="minorBidi"/>
            <w:noProof/>
            <w:sz w:val="22"/>
            <w:szCs w:val="22"/>
            <w:lang w:val="nl-NL" w:eastAsia="nl-NL"/>
          </w:rPr>
          <w:tab/>
        </w:r>
        <w:r w:rsidR="008F156B" w:rsidRPr="009D06C6">
          <w:rPr>
            <w:rStyle w:val="Hyperlink"/>
            <w:noProof/>
          </w:rPr>
          <w:t>Employment</w:t>
        </w:r>
        <w:r w:rsidR="008F156B">
          <w:rPr>
            <w:noProof/>
            <w:webHidden/>
          </w:rPr>
          <w:tab/>
        </w:r>
        <w:r w:rsidR="008F156B">
          <w:rPr>
            <w:noProof/>
            <w:webHidden/>
          </w:rPr>
          <w:fldChar w:fldCharType="begin"/>
        </w:r>
        <w:r w:rsidR="008F156B">
          <w:rPr>
            <w:noProof/>
            <w:webHidden/>
          </w:rPr>
          <w:instrText xml:space="preserve"> PAGEREF _Toc483409963 \h </w:instrText>
        </w:r>
        <w:r w:rsidR="008F156B">
          <w:rPr>
            <w:noProof/>
            <w:webHidden/>
          </w:rPr>
        </w:r>
        <w:r w:rsidR="008F156B">
          <w:rPr>
            <w:noProof/>
            <w:webHidden/>
          </w:rPr>
          <w:fldChar w:fldCharType="separate"/>
        </w:r>
        <w:r w:rsidR="008F156B">
          <w:rPr>
            <w:noProof/>
            <w:webHidden/>
          </w:rPr>
          <w:t>22</w:t>
        </w:r>
        <w:r w:rsidR="008F156B">
          <w:rPr>
            <w:noProof/>
            <w:webHidden/>
          </w:rPr>
          <w:fldChar w:fldCharType="end"/>
        </w:r>
      </w:hyperlink>
    </w:p>
    <w:p w14:paraId="5E8BBCF5" w14:textId="360625CB" w:rsidR="008F156B" w:rsidRDefault="003E4D02">
      <w:pPr>
        <w:pStyle w:val="TOC2"/>
        <w:tabs>
          <w:tab w:val="left" w:pos="1134"/>
          <w:tab w:val="right" w:leader="dot" w:pos="9060"/>
        </w:tabs>
        <w:rPr>
          <w:rFonts w:asciiTheme="minorHAnsi" w:eastAsiaTheme="minorEastAsia" w:hAnsiTheme="minorHAnsi" w:cstheme="minorBidi"/>
          <w:noProof/>
          <w:sz w:val="22"/>
          <w:szCs w:val="22"/>
          <w:lang w:val="nl-NL" w:eastAsia="nl-NL"/>
        </w:rPr>
      </w:pPr>
      <w:hyperlink w:anchor="_Toc483409964" w:history="1">
        <w:r w:rsidR="008F156B" w:rsidRPr="009D06C6">
          <w:rPr>
            <w:rStyle w:val="Hyperlink"/>
            <w:noProof/>
          </w:rPr>
          <w:t>3.2</w:t>
        </w:r>
        <w:r w:rsidR="008F156B">
          <w:rPr>
            <w:rFonts w:asciiTheme="minorHAnsi" w:eastAsiaTheme="minorEastAsia" w:hAnsiTheme="minorHAnsi" w:cstheme="minorBidi"/>
            <w:noProof/>
            <w:sz w:val="22"/>
            <w:szCs w:val="22"/>
            <w:lang w:val="nl-NL" w:eastAsia="nl-NL"/>
          </w:rPr>
          <w:tab/>
        </w:r>
        <w:r w:rsidR="008F156B" w:rsidRPr="009D06C6">
          <w:rPr>
            <w:rStyle w:val="Hyperlink"/>
            <w:noProof/>
          </w:rPr>
          <w:t>Education</w:t>
        </w:r>
        <w:r w:rsidR="008F156B">
          <w:rPr>
            <w:noProof/>
            <w:webHidden/>
          </w:rPr>
          <w:tab/>
        </w:r>
        <w:r w:rsidR="008F156B">
          <w:rPr>
            <w:noProof/>
            <w:webHidden/>
          </w:rPr>
          <w:fldChar w:fldCharType="begin"/>
        </w:r>
        <w:r w:rsidR="008F156B">
          <w:rPr>
            <w:noProof/>
            <w:webHidden/>
          </w:rPr>
          <w:instrText xml:space="preserve"> PAGEREF _Toc483409964 \h </w:instrText>
        </w:r>
        <w:r w:rsidR="008F156B">
          <w:rPr>
            <w:noProof/>
            <w:webHidden/>
          </w:rPr>
        </w:r>
        <w:r w:rsidR="008F156B">
          <w:rPr>
            <w:noProof/>
            <w:webHidden/>
          </w:rPr>
          <w:fldChar w:fldCharType="separate"/>
        </w:r>
        <w:r w:rsidR="008F156B">
          <w:rPr>
            <w:noProof/>
            <w:webHidden/>
          </w:rPr>
          <w:t>24</w:t>
        </w:r>
        <w:r w:rsidR="008F156B">
          <w:rPr>
            <w:noProof/>
            <w:webHidden/>
          </w:rPr>
          <w:fldChar w:fldCharType="end"/>
        </w:r>
      </w:hyperlink>
    </w:p>
    <w:p w14:paraId="31DCDA99" w14:textId="203E9115" w:rsidR="008F156B" w:rsidRDefault="003E4D02">
      <w:pPr>
        <w:pStyle w:val="TOC2"/>
        <w:tabs>
          <w:tab w:val="left" w:pos="1134"/>
          <w:tab w:val="right" w:leader="dot" w:pos="9060"/>
        </w:tabs>
        <w:rPr>
          <w:rFonts w:asciiTheme="minorHAnsi" w:eastAsiaTheme="minorEastAsia" w:hAnsiTheme="minorHAnsi" w:cstheme="minorBidi"/>
          <w:noProof/>
          <w:sz w:val="22"/>
          <w:szCs w:val="22"/>
          <w:lang w:val="nl-NL" w:eastAsia="nl-NL"/>
        </w:rPr>
      </w:pPr>
      <w:hyperlink w:anchor="_Toc483409965" w:history="1">
        <w:r w:rsidR="008F156B" w:rsidRPr="009D06C6">
          <w:rPr>
            <w:rStyle w:val="Hyperlink"/>
            <w:noProof/>
          </w:rPr>
          <w:t>3.3</w:t>
        </w:r>
        <w:r w:rsidR="008F156B">
          <w:rPr>
            <w:rFonts w:asciiTheme="minorHAnsi" w:eastAsiaTheme="minorEastAsia" w:hAnsiTheme="minorHAnsi" w:cstheme="minorBidi"/>
            <w:noProof/>
            <w:sz w:val="22"/>
            <w:szCs w:val="22"/>
            <w:lang w:val="nl-NL" w:eastAsia="nl-NL"/>
          </w:rPr>
          <w:tab/>
        </w:r>
        <w:r w:rsidR="008F156B" w:rsidRPr="009D06C6">
          <w:rPr>
            <w:rStyle w:val="Hyperlink"/>
            <w:noProof/>
          </w:rPr>
          <w:t>Poverty and social inclusion</w:t>
        </w:r>
        <w:r w:rsidR="008F156B">
          <w:rPr>
            <w:noProof/>
            <w:webHidden/>
          </w:rPr>
          <w:tab/>
        </w:r>
        <w:r w:rsidR="008F156B">
          <w:rPr>
            <w:noProof/>
            <w:webHidden/>
          </w:rPr>
          <w:fldChar w:fldCharType="begin"/>
        </w:r>
        <w:r w:rsidR="008F156B">
          <w:rPr>
            <w:noProof/>
            <w:webHidden/>
          </w:rPr>
          <w:instrText xml:space="preserve"> PAGEREF _Toc483409965 \h </w:instrText>
        </w:r>
        <w:r w:rsidR="008F156B">
          <w:rPr>
            <w:noProof/>
            <w:webHidden/>
          </w:rPr>
        </w:r>
        <w:r w:rsidR="008F156B">
          <w:rPr>
            <w:noProof/>
            <w:webHidden/>
          </w:rPr>
          <w:fldChar w:fldCharType="separate"/>
        </w:r>
        <w:r w:rsidR="008F156B">
          <w:rPr>
            <w:noProof/>
            <w:webHidden/>
          </w:rPr>
          <w:t>25</w:t>
        </w:r>
        <w:r w:rsidR="008F156B">
          <w:rPr>
            <w:noProof/>
            <w:webHidden/>
          </w:rPr>
          <w:fldChar w:fldCharType="end"/>
        </w:r>
      </w:hyperlink>
    </w:p>
    <w:p w14:paraId="00BAE006" w14:textId="7E892FD9" w:rsidR="008F156B" w:rsidRDefault="003E4D02">
      <w:pPr>
        <w:pStyle w:val="TOC1"/>
        <w:tabs>
          <w:tab w:val="right" w:leader="dot" w:pos="9060"/>
        </w:tabs>
        <w:rPr>
          <w:rFonts w:asciiTheme="minorHAnsi" w:eastAsiaTheme="minorEastAsia" w:hAnsiTheme="minorHAnsi" w:cstheme="minorBidi"/>
          <w:noProof/>
          <w:sz w:val="22"/>
          <w:szCs w:val="22"/>
          <w:lang w:val="nl-NL" w:eastAsia="nl-NL"/>
        </w:rPr>
      </w:pPr>
      <w:hyperlink w:anchor="_Toc483409966" w:history="1">
        <w:r w:rsidR="008F156B" w:rsidRPr="009D06C6">
          <w:rPr>
            <w:rStyle w:val="Hyperlink"/>
            <w:noProof/>
          </w:rPr>
          <w:t>4</w:t>
        </w:r>
        <w:r w:rsidR="008F156B">
          <w:rPr>
            <w:rFonts w:asciiTheme="minorHAnsi" w:eastAsiaTheme="minorEastAsia" w:hAnsiTheme="minorHAnsi" w:cstheme="minorBidi"/>
            <w:noProof/>
            <w:sz w:val="22"/>
            <w:szCs w:val="22"/>
            <w:lang w:val="nl-NL" w:eastAsia="nl-NL"/>
          </w:rPr>
          <w:tab/>
        </w:r>
        <w:r w:rsidR="008F156B" w:rsidRPr="009D06C6">
          <w:rPr>
            <w:rStyle w:val="Hyperlink"/>
            <w:noProof/>
          </w:rPr>
          <w:t>Assessment of policies in place to meet the relevant headline targets</w:t>
        </w:r>
        <w:r w:rsidR="008F156B">
          <w:rPr>
            <w:noProof/>
            <w:webHidden/>
          </w:rPr>
          <w:tab/>
        </w:r>
        <w:r w:rsidR="008F156B">
          <w:rPr>
            <w:noProof/>
            <w:webHidden/>
          </w:rPr>
          <w:fldChar w:fldCharType="begin"/>
        </w:r>
        <w:r w:rsidR="008F156B">
          <w:rPr>
            <w:noProof/>
            <w:webHidden/>
          </w:rPr>
          <w:instrText xml:space="preserve"> PAGEREF _Toc483409966 \h </w:instrText>
        </w:r>
        <w:r w:rsidR="008F156B">
          <w:rPr>
            <w:noProof/>
            <w:webHidden/>
          </w:rPr>
        </w:r>
        <w:r w:rsidR="008F156B">
          <w:rPr>
            <w:noProof/>
            <w:webHidden/>
          </w:rPr>
          <w:fldChar w:fldCharType="separate"/>
        </w:r>
        <w:r w:rsidR="008F156B">
          <w:rPr>
            <w:noProof/>
            <w:webHidden/>
          </w:rPr>
          <w:t>27</w:t>
        </w:r>
        <w:r w:rsidR="008F156B">
          <w:rPr>
            <w:noProof/>
            <w:webHidden/>
          </w:rPr>
          <w:fldChar w:fldCharType="end"/>
        </w:r>
      </w:hyperlink>
    </w:p>
    <w:p w14:paraId="1C3101C0" w14:textId="3548BF70" w:rsidR="008F156B" w:rsidRDefault="003E4D02">
      <w:pPr>
        <w:pStyle w:val="TOC2"/>
        <w:tabs>
          <w:tab w:val="left" w:pos="1134"/>
          <w:tab w:val="right" w:leader="dot" w:pos="9060"/>
        </w:tabs>
        <w:rPr>
          <w:rFonts w:asciiTheme="minorHAnsi" w:eastAsiaTheme="minorEastAsia" w:hAnsiTheme="minorHAnsi" w:cstheme="minorBidi"/>
          <w:noProof/>
          <w:sz w:val="22"/>
          <w:szCs w:val="22"/>
          <w:lang w:val="nl-NL" w:eastAsia="nl-NL"/>
        </w:rPr>
      </w:pPr>
      <w:hyperlink w:anchor="_Toc483409967" w:history="1">
        <w:r w:rsidR="008F156B" w:rsidRPr="009D06C6">
          <w:rPr>
            <w:rStyle w:val="Hyperlink"/>
            <w:noProof/>
          </w:rPr>
          <w:t>4.1</w:t>
        </w:r>
        <w:r w:rsidR="008F156B">
          <w:rPr>
            <w:rFonts w:asciiTheme="minorHAnsi" w:eastAsiaTheme="minorEastAsia" w:hAnsiTheme="minorHAnsi" w:cstheme="minorBidi"/>
            <w:noProof/>
            <w:sz w:val="22"/>
            <w:szCs w:val="22"/>
            <w:lang w:val="nl-NL" w:eastAsia="nl-NL"/>
          </w:rPr>
          <w:tab/>
        </w:r>
        <w:r w:rsidR="008F156B" w:rsidRPr="009D06C6">
          <w:rPr>
            <w:rStyle w:val="Hyperlink"/>
            <w:noProof/>
          </w:rPr>
          <w:t>Employment</w:t>
        </w:r>
        <w:r w:rsidR="008F156B">
          <w:rPr>
            <w:noProof/>
            <w:webHidden/>
          </w:rPr>
          <w:tab/>
        </w:r>
        <w:r w:rsidR="008F156B">
          <w:rPr>
            <w:noProof/>
            <w:webHidden/>
          </w:rPr>
          <w:fldChar w:fldCharType="begin"/>
        </w:r>
        <w:r w:rsidR="008F156B">
          <w:rPr>
            <w:noProof/>
            <w:webHidden/>
          </w:rPr>
          <w:instrText xml:space="preserve"> PAGEREF _Toc483409967 \h </w:instrText>
        </w:r>
        <w:r w:rsidR="008F156B">
          <w:rPr>
            <w:noProof/>
            <w:webHidden/>
          </w:rPr>
        </w:r>
        <w:r w:rsidR="008F156B">
          <w:rPr>
            <w:noProof/>
            <w:webHidden/>
          </w:rPr>
          <w:fldChar w:fldCharType="separate"/>
        </w:r>
        <w:r w:rsidR="008F156B">
          <w:rPr>
            <w:noProof/>
            <w:webHidden/>
          </w:rPr>
          <w:t>27</w:t>
        </w:r>
        <w:r w:rsidR="008F156B">
          <w:rPr>
            <w:noProof/>
            <w:webHidden/>
          </w:rPr>
          <w:fldChar w:fldCharType="end"/>
        </w:r>
      </w:hyperlink>
    </w:p>
    <w:p w14:paraId="1F1CE5BD" w14:textId="196A8064" w:rsidR="008F156B" w:rsidRDefault="003E4D02">
      <w:pPr>
        <w:pStyle w:val="TOC2"/>
        <w:tabs>
          <w:tab w:val="left" w:pos="1134"/>
          <w:tab w:val="right" w:leader="dot" w:pos="9060"/>
        </w:tabs>
        <w:rPr>
          <w:rFonts w:asciiTheme="minorHAnsi" w:eastAsiaTheme="minorEastAsia" w:hAnsiTheme="minorHAnsi" w:cstheme="minorBidi"/>
          <w:noProof/>
          <w:sz w:val="22"/>
          <w:szCs w:val="22"/>
          <w:lang w:val="nl-NL" w:eastAsia="nl-NL"/>
        </w:rPr>
      </w:pPr>
      <w:hyperlink w:anchor="_Toc483409968" w:history="1">
        <w:r w:rsidR="008F156B" w:rsidRPr="009D06C6">
          <w:rPr>
            <w:rStyle w:val="Hyperlink"/>
            <w:noProof/>
          </w:rPr>
          <w:t>4.2</w:t>
        </w:r>
        <w:r w:rsidR="008F156B">
          <w:rPr>
            <w:rFonts w:asciiTheme="minorHAnsi" w:eastAsiaTheme="minorEastAsia" w:hAnsiTheme="minorHAnsi" w:cstheme="minorBidi"/>
            <w:noProof/>
            <w:sz w:val="22"/>
            <w:szCs w:val="22"/>
            <w:lang w:val="nl-NL" w:eastAsia="nl-NL"/>
          </w:rPr>
          <w:tab/>
        </w:r>
        <w:r w:rsidR="008F156B" w:rsidRPr="009D06C6">
          <w:rPr>
            <w:rStyle w:val="Hyperlink"/>
            <w:noProof/>
          </w:rPr>
          <w:t>Education</w:t>
        </w:r>
        <w:r w:rsidR="008F156B">
          <w:rPr>
            <w:noProof/>
            <w:webHidden/>
          </w:rPr>
          <w:tab/>
        </w:r>
        <w:r w:rsidR="008F156B">
          <w:rPr>
            <w:noProof/>
            <w:webHidden/>
          </w:rPr>
          <w:fldChar w:fldCharType="begin"/>
        </w:r>
        <w:r w:rsidR="008F156B">
          <w:rPr>
            <w:noProof/>
            <w:webHidden/>
          </w:rPr>
          <w:instrText xml:space="preserve"> PAGEREF _Toc483409968 \h </w:instrText>
        </w:r>
        <w:r w:rsidR="008F156B">
          <w:rPr>
            <w:noProof/>
            <w:webHidden/>
          </w:rPr>
        </w:r>
        <w:r w:rsidR="008F156B">
          <w:rPr>
            <w:noProof/>
            <w:webHidden/>
          </w:rPr>
          <w:fldChar w:fldCharType="separate"/>
        </w:r>
        <w:r w:rsidR="008F156B">
          <w:rPr>
            <w:noProof/>
            <w:webHidden/>
          </w:rPr>
          <w:t>30</w:t>
        </w:r>
        <w:r w:rsidR="008F156B">
          <w:rPr>
            <w:noProof/>
            <w:webHidden/>
          </w:rPr>
          <w:fldChar w:fldCharType="end"/>
        </w:r>
      </w:hyperlink>
    </w:p>
    <w:p w14:paraId="32A65179" w14:textId="0DF878A0" w:rsidR="008F156B" w:rsidRDefault="003E4D02">
      <w:pPr>
        <w:pStyle w:val="TOC2"/>
        <w:tabs>
          <w:tab w:val="left" w:pos="1134"/>
          <w:tab w:val="right" w:leader="dot" w:pos="9060"/>
        </w:tabs>
        <w:rPr>
          <w:rFonts w:asciiTheme="minorHAnsi" w:eastAsiaTheme="minorEastAsia" w:hAnsiTheme="minorHAnsi" w:cstheme="minorBidi"/>
          <w:noProof/>
          <w:sz w:val="22"/>
          <w:szCs w:val="22"/>
          <w:lang w:val="nl-NL" w:eastAsia="nl-NL"/>
        </w:rPr>
      </w:pPr>
      <w:hyperlink w:anchor="_Toc483409969" w:history="1">
        <w:r w:rsidR="008F156B" w:rsidRPr="009D06C6">
          <w:rPr>
            <w:rStyle w:val="Hyperlink"/>
            <w:noProof/>
          </w:rPr>
          <w:t>4.3</w:t>
        </w:r>
        <w:r w:rsidR="008F156B">
          <w:rPr>
            <w:rFonts w:asciiTheme="minorHAnsi" w:eastAsiaTheme="minorEastAsia" w:hAnsiTheme="minorHAnsi" w:cstheme="minorBidi"/>
            <w:noProof/>
            <w:sz w:val="22"/>
            <w:szCs w:val="22"/>
            <w:lang w:val="nl-NL" w:eastAsia="nl-NL"/>
          </w:rPr>
          <w:tab/>
        </w:r>
        <w:r w:rsidR="008F156B" w:rsidRPr="009D06C6">
          <w:rPr>
            <w:rStyle w:val="Hyperlink"/>
            <w:noProof/>
          </w:rPr>
          <w:t>Poverty and social inclusion</w:t>
        </w:r>
        <w:r w:rsidR="008F156B">
          <w:rPr>
            <w:noProof/>
            <w:webHidden/>
          </w:rPr>
          <w:tab/>
        </w:r>
        <w:r w:rsidR="008F156B">
          <w:rPr>
            <w:noProof/>
            <w:webHidden/>
          </w:rPr>
          <w:fldChar w:fldCharType="begin"/>
        </w:r>
        <w:r w:rsidR="008F156B">
          <w:rPr>
            <w:noProof/>
            <w:webHidden/>
          </w:rPr>
          <w:instrText xml:space="preserve"> PAGEREF _Toc483409969 \h </w:instrText>
        </w:r>
        <w:r w:rsidR="008F156B">
          <w:rPr>
            <w:noProof/>
            <w:webHidden/>
          </w:rPr>
        </w:r>
        <w:r w:rsidR="008F156B">
          <w:rPr>
            <w:noProof/>
            <w:webHidden/>
          </w:rPr>
          <w:fldChar w:fldCharType="separate"/>
        </w:r>
        <w:r w:rsidR="008F156B">
          <w:rPr>
            <w:noProof/>
            <w:webHidden/>
          </w:rPr>
          <w:t>34</w:t>
        </w:r>
        <w:r w:rsidR="008F156B">
          <w:rPr>
            <w:noProof/>
            <w:webHidden/>
          </w:rPr>
          <w:fldChar w:fldCharType="end"/>
        </w:r>
      </w:hyperlink>
    </w:p>
    <w:p w14:paraId="31906DEE" w14:textId="5E45FFDE" w:rsidR="008F156B" w:rsidRDefault="003E4D02">
      <w:pPr>
        <w:pStyle w:val="TOC2"/>
        <w:tabs>
          <w:tab w:val="left" w:pos="1134"/>
          <w:tab w:val="right" w:leader="dot" w:pos="9060"/>
        </w:tabs>
        <w:rPr>
          <w:rFonts w:asciiTheme="minorHAnsi" w:eastAsiaTheme="minorEastAsia" w:hAnsiTheme="minorHAnsi" w:cstheme="minorBidi"/>
          <w:noProof/>
          <w:sz w:val="22"/>
          <w:szCs w:val="22"/>
          <w:lang w:val="nl-NL" w:eastAsia="nl-NL"/>
        </w:rPr>
      </w:pPr>
      <w:hyperlink w:anchor="_Toc483409970" w:history="1">
        <w:r w:rsidR="008F156B" w:rsidRPr="009D06C6">
          <w:rPr>
            <w:rStyle w:val="Hyperlink"/>
            <w:noProof/>
          </w:rPr>
          <w:t>4.4</w:t>
        </w:r>
        <w:r w:rsidR="008F156B">
          <w:rPr>
            <w:rFonts w:asciiTheme="minorHAnsi" w:eastAsiaTheme="minorEastAsia" w:hAnsiTheme="minorHAnsi" w:cstheme="minorBidi"/>
            <w:noProof/>
            <w:sz w:val="22"/>
            <w:szCs w:val="22"/>
            <w:lang w:val="nl-NL" w:eastAsia="nl-NL"/>
          </w:rPr>
          <w:tab/>
        </w:r>
        <w:r w:rsidR="008F156B" w:rsidRPr="009D06C6">
          <w:rPr>
            <w:rStyle w:val="Hyperlink"/>
            <w:noProof/>
          </w:rPr>
          <w:t>Synergies between developments in the different areas</w:t>
        </w:r>
        <w:r w:rsidR="008F156B">
          <w:rPr>
            <w:noProof/>
            <w:webHidden/>
          </w:rPr>
          <w:tab/>
        </w:r>
        <w:r w:rsidR="008F156B">
          <w:rPr>
            <w:noProof/>
            <w:webHidden/>
          </w:rPr>
          <w:fldChar w:fldCharType="begin"/>
        </w:r>
        <w:r w:rsidR="008F156B">
          <w:rPr>
            <w:noProof/>
            <w:webHidden/>
          </w:rPr>
          <w:instrText xml:space="preserve"> PAGEREF _Toc483409970 \h </w:instrText>
        </w:r>
        <w:r w:rsidR="008F156B">
          <w:rPr>
            <w:noProof/>
            <w:webHidden/>
          </w:rPr>
        </w:r>
        <w:r w:rsidR="008F156B">
          <w:rPr>
            <w:noProof/>
            <w:webHidden/>
          </w:rPr>
          <w:fldChar w:fldCharType="separate"/>
        </w:r>
        <w:r w:rsidR="008F156B">
          <w:rPr>
            <w:noProof/>
            <w:webHidden/>
          </w:rPr>
          <w:t>36</w:t>
        </w:r>
        <w:r w:rsidR="008F156B">
          <w:rPr>
            <w:noProof/>
            <w:webHidden/>
          </w:rPr>
          <w:fldChar w:fldCharType="end"/>
        </w:r>
      </w:hyperlink>
    </w:p>
    <w:p w14:paraId="0CD612ED" w14:textId="1FD54534" w:rsidR="008F156B" w:rsidRDefault="003E4D02">
      <w:pPr>
        <w:pStyle w:val="TOC1"/>
        <w:tabs>
          <w:tab w:val="right" w:leader="dot" w:pos="9060"/>
        </w:tabs>
        <w:rPr>
          <w:rFonts w:asciiTheme="minorHAnsi" w:eastAsiaTheme="minorEastAsia" w:hAnsiTheme="minorHAnsi" w:cstheme="minorBidi"/>
          <w:noProof/>
          <w:sz w:val="22"/>
          <w:szCs w:val="22"/>
          <w:lang w:val="nl-NL" w:eastAsia="nl-NL"/>
        </w:rPr>
      </w:pPr>
      <w:hyperlink w:anchor="_Toc483409971" w:history="1">
        <w:r w:rsidR="008F156B" w:rsidRPr="009D06C6">
          <w:rPr>
            <w:rStyle w:val="Hyperlink"/>
            <w:noProof/>
          </w:rPr>
          <w:t>5</w:t>
        </w:r>
        <w:r w:rsidR="008F156B">
          <w:rPr>
            <w:rFonts w:asciiTheme="minorHAnsi" w:eastAsiaTheme="minorEastAsia" w:hAnsiTheme="minorHAnsi" w:cstheme="minorBidi"/>
            <w:noProof/>
            <w:sz w:val="22"/>
            <w:szCs w:val="22"/>
            <w:lang w:val="nl-NL" w:eastAsia="nl-NL"/>
          </w:rPr>
          <w:tab/>
        </w:r>
        <w:r w:rsidR="008F156B" w:rsidRPr="009D06C6">
          <w:rPr>
            <w:rStyle w:val="Hyperlink"/>
            <w:noProof/>
          </w:rPr>
          <w:t>Follow up of the European Semester from a disability perspective</w:t>
        </w:r>
        <w:r w:rsidR="008F156B">
          <w:rPr>
            <w:noProof/>
            <w:webHidden/>
          </w:rPr>
          <w:tab/>
        </w:r>
        <w:r w:rsidR="008F156B">
          <w:rPr>
            <w:noProof/>
            <w:webHidden/>
          </w:rPr>
          <w:fldChar w:fldCharType="begin"/>
        </w:r>
        <w:r w:rsidR="008F156B">
          <w:rPr>
            <w:noProof/>
            <w:webHidden/>
          </w:rPr>
          <w:instrText xml:space="preserve"> PAGEREF _Toc483409971 \h </w:instrText>
        </w:r>
        <w:r w:rsidR="008F156B">
          <w:rPr>
            <w:noProof/>
            <w:webHidden/>
          </w:rPr>
        </w:r>
        <w:r w:rsidR="008F156B">
          <w:rPr>
            <w:noProof/>
            <w:webHidden/>
          </w:rPr>
          <w:fldChar w:fldCharType="separate"/>
        </w:r>
        <w:r w:rsidR="008F156B">
          <w:rPr>
            <w:noProof/>
            <w:webHidden/>
          </w:rPr>
          <w:t>38</w:t>
        </w:r>
        <w:r w:rsidR="008F156B">
          <w:rPr>
            <w:noProof/>
            <w:webHidden/>
          </w:rPr>
          <w:fldChar w:fldCharType="end"/>
        </w:r>
      </w:hyperlink>
    </w:p>
    <w:p w14:paraId="0BA0C68F" w14:textId="3FA9B049" w:rsidR="008F156B" w:rsidRDefault="003E4D02">
      <w:pPr>
        <w:pStyle w:val="TOC2"/>
        <w:tabs>
          <w:tab w:val="left" w:pos="1134"/>
          <w:tab w:val="right" w:leader="dot" w:pos="9060"/>
        </w:tabs>
        <w:rPr>
          <w:rFonts w:asciiTheme="minorHAnsi" w:eastAsiaTheme="minorEastAsia" w:hAnsiTheme="minorHAnsi" w:cstheme="minorBidi"/>
          <w:noProof/>
          <w:sz w:val="22"/>
          <w:szCs w:val="22"/>
          <w:lang w:val="nl-NL" w:eastAsia="nl-NL"/>
        </w:rPr>
      </w:pPr>
      <w:hyperlink w:anchor="_Toc483409972" w:history="1">
        <w:r w:rsidR="008F156B" w:rsidRPr="009D06C6">
          <w:rPr>
            <w:rStyle w:val="Hyperlink"/>
            <w:noProof/>
          </w:rPr>
          <w:t>5.1</w:t>
        </w:r>
        <w:r w:rsidR="008F156B">
          <w:rPr>
            <w:rFonts w:asciiTheme="minorHAnsi" w:eastAsiaTheme="minorEastAsia" w:hAnsiTheme="minorHAnsi" w:cstheme="minorBidi"/>
            <w:noProof/>
            <w:sz w:val="22"/>
            <w:szCs w:val="22"/>
            <w:lang w:val="nl-NL" w:eastAsia="nl-NL"/>
          </w:rPr>
          <w:tab/>
        </w:r>
        <w:r w:rsidR="008F156B" w:rsidRPr="009D06C6">
          <w:rPr>
            <w:rStyle w:val="Hyperlink"/>
            <w:noProof/>
          </w:rPr>
          <w:t>Progress on disability-specific Country Specific Recommendations (CSRs)</w:t>
        </w:r>
        <w:r w:rsidR="008F156B">
          <w:rPr>
            <w:noProof/>
            <w:webHidden/>
          </w:rPr>
          <w:tab/>
        </w:r>
        <w:r w:rsidR="008F156B">
          <w:rPr>
            <w:noProof/>
            <w:webHidden/>
          </w:rPr>
          <w:fldChar w:fldCharType="begin"/>
        </w:r>
        <w:r w:rsidR="008F156B">
          <w:rPr>
            <w:noProof/>
            <w:webHidden/>
          </w:rPr>
          <w:instrText xml:space="preserve"> PAGEREF _Toc483409972 \h </w:instrText>
        </w:r>
        <w:r w:rsidR="008F156B">
          <w:rPr>
            <w:noProof/>
            <w:webHidden/>
          </w:rPr>
        </w:r>
        <w:r w:rsidR="008F156B">
          <w:rPr>
            <w:noProof/>
            <w:webHidden/>
          </w:rPr>
          <w:fldChar w:fldCharType="separate"/>
        </w:r>
        <w:r w:rsidR="008F156B">
          <w:rPr>
            <w:noProof/>
            <w:webHidden/>
          </w:rPr>
          <w:t>38</w:t>
        </w:r>
        <w:r w:rsidR="008F156B">
          <w:rPr>
            <w:noProof/>
            <w:webHidden/>
          </w:rPr>
          <w:fldChar w:fldCharType="end"/>
        </w:r>
      </w:hyperlink>
    </w:p>
    <w:p w14:paraId="31EE1D7A" w14:textId="0630F5B1" w:rsidR="008F156B" w:rsidRDefault="003E4D02">
      <w:pPr>
        <w:pStyle w:val="TOC2"/>
        <w:tabs>
          <w:tab w:val="left" w:pos="1134"/>
          <w:tab w:val="right" w:leader="dot" w:pos="9060"/>
        </w:tabs>
        <w:rPr>
          <w:rFonts w:asciiTheme="minorHAnsi" w:eastAsiaTheme="minorEastAsia" w:hAnsiTheme="minorHAnsi" w:cstheme="minorBidi"/>
          <w:noProof/>
          <w:sz w:val="22"/>
          <w:szCs w:val="22"/>
          <w:lang w:val="nl-NL" w:eastAsia="nl-NL"/>
        </w:rPr>
      </w:pPr>
      <w:hyperlink w:anchor="_Toc483409973" w:history="1">
        <w:r w:rsidR="008F156B" w:rsidRPr="009D06C6">
          <w:rPr>
            <w:rStyle w:val="Hyperlink"/>
            <w:noProof/>
          </w:rPr>
          <w:t>5.2</w:t>
        </w:r>
        <w:r w:rsidR="008F156B">
          <w:rPr>
            <w:rFonts w:asciiTheme="minorHAnsi" w:eastAsiaTheme="minorEastAsia" w:hAnsiTheme="minorHAnsi" w:cstheme="minorBidi"/>
            <w:noProof/>
            <w:sz w:val="22"/>
            <w:szCs w:val="22"/>
            <w:lang w:val="nl-NL" w:eastAsia="nl-NL"/>
          </w:rPr>
          <w:tab/>
        </w:r>
        <w:r w:rsidR="008F156B" w:rsidRPr="009D06C6">
          <w:rPr>
            <w:rStyle w:val="Hyperlink"/>
            <w:noProof/>
          </w:rPr>
          <w:t>Progress on other CSRs from a disability perspective</w:t>
        </w:r>
        <w:r w:rsidR="008F156B">
          <w:rPr>
            <w:noProof/>
            <w:webHidden/>
          </w:rPr>
          <w:tab/>
        </w:r>
        <w:r w:rsidR="008F156B">
          <w:rPr>
            <w:noProof/>
            <w:webHidden/>
          </w:rPr>
          <w:fldChar w:fldCharType="begin"/>
        </w:r>
        <w:r w:rsidR="008F156B">
          <w:rPr>
            <w:noProof/>
            <w:webHidden/>
          </w:rPr>
          <w:instrText xml:space="preserve"> PAGEREF _Toc483409973 \h </w:instrText>
        </w:r>
        <w:r w:rsidR="008F156B">
          <w:rPr>
            <w:noProof/>
            <w:webHidden/>
          </w:rPr>
        </w:r>
        <w:r w:rsidR="008F156B">
          <w:rPr>
            <w:noProof/>
            <w:webHidden/>
          </w:rPr>
          <w:fldChar w:fldCharType="separate"/>
        </w:r>
        <w:r w:rsidR="008F156B">
          <w:rPr>
            <w:noProof/>
            <w:webHidden/>
          </w:rPr>
          <w:t>38</w:t>
        </w:r>
        <w:r w:rsidR="008F156B">
          <w:rPr>
            <w:noProof/>
            <w:webHidden/>
          </w:rPr>
          <w:fldChar w:fldCharType="end"/>
        </w:r>
      </w:hyperlink>
    </w:p>
    <w:p w14:paraId="16ED9206" w14:textId="159C6124" w:rsidR="008F156B" w:rsidRDefault="003E4D02">
      <w:pPr>
        <w:pStyle w:val="TOC2"/>
        <w:tabs>
          <w:tab w:val="left" w:pos="1134"/>
          <w:tab w:val="right" w:leader="dot" w:pos="9060"/>
        </w:tabs>
        <w:rPr>
          <w:rFonts w:asciiTheme="minorHAnsi" w:eastAsiaTheme="minorEastAsia" w:hAnsiTheme="minorHAnsi" w:cstheme="minorBidi"/>
          <w:noProof/>
          <w:sz w:val="22"/>
          <w:szCs w:val="22"/>
          <w:lang w:val="nl-NL" w:eastAsia="nl-NL"/>
        </w:rPr>
      </w:pPr>
      <w:hyperlink w:anchor="_Toc483409974" w:history="1">
        <w:r w:rsidR="008F156B" w:rsidRPr="009D06C6">
          <w:rPr>
            <w:rStyle w:val="Hyperlink"/>
            <w:noProof/>
          </w:rPr>
          <w:t>5.3</w:t>
        </w:r>
        <w:r w:rsidR="008F156B">
          <w:rPr>
            <w:rFonts w:asciiTheme="minorHAnsi" w:eastAsiaTheme="minorEastAsia" w:hAnsiTheme="minorHAnsi" w:cstheme="minorBidi"/>
            <w:noProof/>
            <w:sz w:val="22"/>
            <w:szCs w:val="22"/>
            <w:lang w:val="nl-NL" w:eastAsia="nl-NL"/>
          </w:rPr>
          <w:tab/>
        </w:r>
        <w:r w:rsidR="008F156B" w:rsidRPr="009D06C6">
          <w:rPr>
            <w:rStyle w:val="Hyperlink"/>
            <w:noProof/>
          </w:rPr>
          <w:t>Assessment of disability issues in the Country Report (CR)</w:t>
        </w:r>
        <w:r w:rsidR="008F156B">
          <w:rPr>
            <w:noProof/>
            <w:webHidden/>
          </w:rPr>
          <w:tab/>
        </w:r>
        <w:r w:rsidR="008F156B">
          <w:rPr>
            <w:noProof/>
            <w:webHidden/>
          </w:rPr>
          <w:fldChar w:fldCharType="begin"/>
        </w:r>
        <w:r w:rsidR="008F156B">
          <w:rPr>
            <w:noProof/>
            <w:webHidden/>
          </w:rPr>
          <w:instrText xml:space="preserve"> PAGEREF _Toc483409974 \h </w:instrText>
        </w:r>
        <w:r w:rsidR="008F156B">
          <w:rPr>
            <w:noProof/>
            <w:webHidden/>
          </w:rPr>
        </w:r>
        <w:r w:rsidR="008F156B">
          <w:rPr>
            <w:noProof/>
            <w:webHidden/>
          </w:rPr>
          <w:fldChar w:fldCharType="separate"/>
        </w:r>
        <w:r w:rsidR="008F156B">
          <w:rPr>
            <w:noProof/>
            <w:webHidden/>
          </w:rPr>
          <w:t>38</w:t>
        </w:r>
        <w:r w:rsidR="008F156B">
          <w:rPr>
            <w:noProof/>
            <w:webHidden/>
          </w:rPr>
          <w:fldChar w:fldCharType="end"/>
        </w:r>
      </w:hyperlink>
    </w:p>
    <w:p w14:paraId="3307B0F5" w14:textId="78142A7B" w:rsidR="008F156B" w:rsidRDefault="003E4D02">
      <w:pPr>
        <w:pStyle w:val="TOC1"/>
        <w:tabs>
          <w:tab w:val="right" w:leader="dot" w:pos="9060"/>
        </w:tabs>
        <w:rPr>
          <w:rFonts w:asciiTheme="minorHAnsi" w:eastAsiaTheme="minorEastAsia" w:hAnsiTheme="minorHAnsi" w:cstheme="minorBidi"/>
          <w:noProof/>
          <w:sz w:val="22"/>
          <w:szCs w:val="22"/>
          <w:lang w:val="nl-NL" w:eastAsia="nl-NL"/>
        </w:rPr>
      </w:pPr>
      <w:hyperlink w:anchor="_Toc483409975" w:history="1">
        <w:r w:rsidR="008F156B" w:rsidRPr="009D06C6">
          <w:rPr>
            <w:rStyle w:val="Hyperlink"/>
            <w:noProof/>
          </w:rPr>
          <w:t>6</w:t>
        </w:r>
        <w:r w:rsidR="008F156B">
          <w:rPr>
            <w:rFonts w:asciiTheme="minorHAnsi" w:eastAsiaTheme="minorEastAsia" w:hAnsiTheme="minorHAnsi" w:cstheme="minorBidi"/>
            <w:noProof/>
            <w:sz w:val="22"/>
            <w:szCs w:val="22"/>
            <w:lang w:val="nl-NL" w:eastAsia="nl-NL"/>
          </w:rPr>
          <w:tab/>
        </w:r>
        <w:r w:rsidR="008F156B" w:rsidRPr="009D06C6">
          <w:rPr>
            <w:rStyle w:val="Hyperlink"/>
            <w:noProof/>
          </w:rPr>
          <w:t>Assessment of the structural funds ESIF 2014-2020 or other relevant funds in relation to disability challenges</w:t>
        </w:r>
        <w:r w:rsidR="008F156B">
          <w:rPr>
            <w:noProof/>
            <w:webHidden/>
          </w:rPr>
          <w:tab/>
        </w:r>
        <w:r w:rsidR="008F156B">
          <w:rPr>
            <w:noProof/>
            <w:webHidden/>
          </w:rPr>
          <w:fldChar w:fldCharType="begin"/>
        </w:r>
        <w:r w:rsidR="008F156B">
          <w:rPr>
            <w:noProof/>
            <w:webHidden/>
          </w:rPr>
          <w:instrText xml:space="preserve"> PAGEREF _Toc483409975 \h </w:instrText>
        </w:r>
        <w:r w:rsidR="008F156B">
          <w:rPr>
            <w:noProof/>
            <w:webHidden/>
          </w:rPr>
        </w:r>
        <w:r w:rsidR="008F156B">
          <w:rPr>
            <w:noProof/>
            <w:webHidden/>
          </w:rPr>
          <w:fldChar w:fldCharType="separate"/>
        </w:r>
        <w:r w:rsidR="008F156B">
          <w:rPr>
            <w:noProof/>
            <w:webHidden/>
          </w:rPr>
          <w:t>40</w:t>
        </w:r>
        <w:r w:rsidR="008F156B">
          <w:rPr>
            <w:noProof/>
            <w:webHidden/>
          </w:rPr>
          <w:fldChar w:fldCharType="end"/>
        </w:r>
      </w:hyperlink>
    </w:p>
    <w:p w14:paraId="491C6EBF" w14:textId="6B17C32C" w:rsidR="008F156B" w:rsidRDefault="003E4D02">
      <w:pPr>
        <w:pStyle w:val="TOC1"/>
        <w:tabs>
          <w:tab w:val="right" w:leader="dot" w:pos="9060"/>
        </w:tabs>
        <w:rPr>
          <w:rFonts w:asciiTheme="minorHAnsi" w:eastAsiaTheme="minorEastAsia" w:hAnsiTheme="minorHAnsi" w:cstheme="minorBidi"/>
          <w:noProof/>
          <w:sz w:val="22"/>
          <w:szCs w:val="22"/>
          <w:lang w:val="nl-NL" w:eastAsia="nl-NL"/>
        </w:rPr>
      </w:pPr>
      <w:hyperlink w:anchor="_Toc483409976" w:history="1">
        <w:r w:rsidR="008F156B" w:rsidRPr="009D06C6">
          <w:rPr>
            <w:rStyle w:val="Hyperlink"/>
            <w:noProof/>
          </w:rPr>
          <w:t>7</w:t>
        </w:r>
        <w:r w:rsidR="008F156B">
          <w:rPr>
            <w:rFonts w:asciiTheme="minorHAnsi" w:eastAsiaTheme="minorEastAsia" w:hAnsiTheme="minorHAnsi" w:cstheme="minorBidi"/>
            <w:noProof/>
            <w:sz w:val="22"/>
            <w:szCs w:val="22"/>
            <w:lang w:val="nl-NL" w:eastAsia="nl-NL"/>
          </w:rPr>
          <w:tab/>
        </w:r>
        <w:r w:rsidR="008F156B" w:rsidRPr="009D06C6">
          <w:rPr>
            <w:rStyle w:val="Hyperlink"/>
            <w:noProof/>
          </w:rPr>
          <w:t>Recommendations</w:t>
        </w:r>
        <w:r w:rsidR="008F156B">
          <w:rPr>
            <w:noProof/>
            <w:webHidden/>
          </w:rPr>
          <w:tab/>
        </w:r>
        <w:r w:rsidR="008F156B">
          <w:rPr>
            <w:noProof/>
            <w:webHidden/>
          </w:rPr>
          <w:fldChar w:fldCharType="begin"/>
        </w:r>
        <w:r w:rsidR="008F156B">
          <w:rPr>
            <w:noProof/>
            <w:webHidden/>
          </w:rPr>
          <w:instrText xml:space="preserve"> PAGEREF _Toc483409976 \h </w:instrText>
        </w:r>
        <w:r w:rsidR="008F156B">
          <w:rPr>
            <w:noProof/>
            <w:webHidden/>
          </w:rPr>
        </w:r>
        <w:r w:rsidR="008F156B">
          <w:rPr>
            <w:noProof/>
            <w:webHidden/>
          </w:rPr>
          <w:fldChar w:fldCharType="separate"/>
        </w:r>
        <w:r w:rsidR="008F156B">
          <w:rPr>
            <w:noProof/>
            <w:webHidden/>
          </w:rPr>
          <w:t>42</w:t>
        </w:r>
        <w:r w:rsidR="008F156B">
          <w:rPr>
            <w:noProof/>
            <w:webHidden/>
          </w:rPr>
          <w:fldChar w:fldCharType="end"/>
        </w:r>
      </w:hyperlink>
    </w:p>
    <w:p w14:paraId="62D17F5F" w14:textId="621EECFE" w:rsidR="008F156B" w:rsidRDefault="003E4D02">
      <w:pPr>
        <w:pStyle w:val="TOC2"/>
        <w:tabs>
          <w:tab w:val="left" w:pos="1134"/>
          <w:tab w:val="right" w:leader="dot" w:pos="9060"/>
        </w:tabs>
        <w:rPr>
          <w:rFonts w:asciiTheme="minorHAnsi" w:eastAsiaTheme="minorEastAsia" w:hAnsiTheme="minorHAnsi" w:cstheme="minorBidi"/>
          <w:noProof/>
          <w:sz w:val="22"/>
          <w:szCs w:val="22"/>
          <w:lang w:val="nl-NL" w:eastAsia="nl-NL"/>
        </w:rPr>
      </w:pPr>
      <w:hyperlink w:anchor="_Toc483409977" w:history="1">
        <w:r w:rsidR="008F156B" w:rsidRPr="009D06C6">
          <w:rPr>
            <w:rStyle w:val="Hyperlink"/>
            <w:noProof/>
          </w:rPr>
          <w:t>7.1</w:t>
        </w:r>
        <w:r w:rsidR="008F156B">
          <w:rPr>
            <w:rFonts w:asciiTheme="minorHAnsi" w:eastAsiaTheme="minorEastAsia" w:hAnsiTheme="minorHAnsi" w:cstheme="minorBidi"/>
            <w:noProof/>
            <w:sz w:val="22"/>
            <w:szCs w:val="22"/>
            <w:lang w:val="nl-NL" w:eastAsia="nl-NL"/>
          </w:rPr>
          <w:tab/>
        </w:r>
        <w:r w:rsidR="008F156B" w:rsidRPr="009D06C6">
          <w:rPr>
            <w:rStyle w:val="Hyperlink"/>
            <w:noProof/>
          </w:rPr>
          <w:t>Employment</w:t>
        </w:r>
        <w:r w:rsidR="008F156B">
          <w:rPr>
            <w:noProof/>
            <w:webHidden/>
          </w:rPr>
          <w:tab/>
        </w:r>
        <w:r w:rsidR="008F156B">
          <w:rPr>
            <w:noProof/>
            <w:webHidden/>
          </w:rPr>
          <w:fldChar w:fldCharType="begin"/>
        </w:r>
        <w:r w:rsidR="008F156B">
          <w:rPr>
            <w:noProof/>
            <w:webHidden/>
          </w:rPr>
          <w:instrText xml:space="preserve"> PAGEREF _Toc483409977 \h </w:instrText>
        </w:r>
        <w:r w:rsidR="008F156B">
          <w:rPr>
            <w:noProof/>
            <w:webHidden/>
          </w:rPr>
        </w:r>
        <w:r w:rsidR="008F156B">
          <w:rPr>
            <w:noProof/>
            <w:webHidden/>
          </w:rPr>
          <w:fldChar w:fldCharType="separate"/>
        </w:r>
        <w:r w:rsidR="008F156B">
          <w:rPr>
            <w:noProof/>
            <w:webHidden/>
          </w:rPr>
          <w:t>42</w:t>
        </w:r>
        <w:r w:rsidR="008F156B">
          <w:rPr>
            <w:noProof/>
            <w:webHidden/>
          </w:rPr>
          <w:fldChar w:fldCharType="end"/>
        </w:r>
      </w:hyperlink>
    </w:p>
    <w:p w14:paraId="1A1049EA" w14:textId="1485A7E2" w:rsidR="008F156B" w:rsidRDefault="003E4D02">
      <w:pPr>
        <w:pStyle w:val="TOC2"/>
        <w:tabs>
          <w:tab w:val="left" w:pos="1134"/>
          <w:tab w:val="right" w:leader="dot" w:pos="9060"/>
        </w:tabs>
        <w:rPr>
          <w:rFonts w:asciiTheme="minorHAnsi" w:eastAsiaTheme="minorEastAsia" w:hAnsiTheme="minorHAnsi" w:cstheme="minorBidi"/>
          <w:noProof/>
          <w:sz w:val="22"/>
          <w:szCs w:val="22"/>
          <w:lang w:val="nl-NL" w:eastAsia="nl-NL"/>
        </w:rPr>
      </w:pPr>
      <w:hyperlink w:anchor="_Toc483409978" w:history="1">
        <w:r w:rsidR="008F156B" w:rsidRPr="009D06C6">
          <w:rPr>
            <w:rStyle w:val="Hyperlink"/>
            <w:noProof/>
          </w:rPr>
          <w:t>7.2</w:t>
        </w:r>
        <w:r w:rsidR="008F156B">
          <w:rPr>
            <w:rFonts w:asciiTheme="minorHAnsi" w:eastAsiaTheme="minorEastAsia" w:hAnsiTheme="minorHAnsi" w:cstheme="minorBidi"/>
            <w:noProof/>
            <w:sz w:val="22"/>
            <w:szCs w:val="22"/>
            <w:lang w:val="nl-NL" w:eastAsia="nl-NL"/>
          </w:rPr>
          <w:tab/>
        </w:r>
        <w:r w:rsidR="008F156B" w:rsidRPr="009D06C6">
          <w:rPr>
            <w:rStyle w:val="Hyperlink"/>
            <w:noProof/>
          </w:rPr>
          <w:t>Education</w:t>
        </w:r>
        <w:r w:rsidR="008F156B">
          <w:rPr>
            <w:noProof/>
            <w:webHidden/>
          </w:rPr>
          <w:tab/>
        </w:r>
        <w:r w:rsidR="008F156B">
          <w:rPr>
            <w:noProof/>
            <w:webHidden/>
          </w:rPr>
          <w:fldChar w:fldCharType="begin"/>
        </w:r>
        <w:r w:rsidR="008F156B">
          <w:rPr>
            <w:noProof/>
            <w:webHidden/>
          </w:rPr>
          <w:instrText xml:space="preserve"> PAGEREF _Toc483409978 \h </w:instrText>
        </w:r>
        <w:r w:rsidR="008F156B">
          <w:rPr>
            <w:noProof/>
            <w:webHidden/>
          </w:rPr>
        </w:r>
        <w:r w:rsidR="008F156B">
          <w:rPr>
            <w:noProof/>
            <w:webHidden/>
          </w:rPr>
          <w:fldChar w:fldCharType="separate"/>
        </w:r>
        <w:r w:rsidR="008F156B">
          <w:rPr>
            <w:noProof/>
            <w:webHidden/>
          </w:rPr>
          <w:t>42</w:t>
        </w:r>
        <w:r w:rsidR="008F156B">
          <w:rPr>
            <w:noProof/>
            <w:webHidden/>
          </w:rPr>
          <w:fldChar w:fldCharType="end"/>
        </w:r>
      </w:hyperlink>
    </w:p>
    <w:p w14:paraId="7DF046C8" w14:textId="1B7C2AE3" w:rsidR="008F156B" w:rsidRDefault="003E4D02">
      <w:pPr>
        <w:pStyle w:val="TOC2"/>
        <w:tabs>
          <w:tab w:val="left" w:pos="1134"/>
          <w:tab w:val="right" w:leader="dot" w:pos="9060"/>
        </w:tabs>
        <w:rPr>
          <w:rFonts w:asciiTheme="minorHAnsi" w:eastAsiaTheme="minorEastAsia" w:hAnsiTheme="minorHAnsi" w:cstheme="minorBidi"/>
          <w:noProof/>
          <w:sz w:val="22"/>
          <w:szCs w:val="22"/>
          <w:lang w:val="nl-NL" w:eastAsia="nl-NL"/>
        </w:rPr>
      </w:pPr>
      <w:hyperlink w:anchor="_Toc483409979" w:history="1">
        <w:r w:rsidR="008F156B" w:rsidRPr="009D06C6">
          <w:rPr>
            <w:rStyle w:val="Hyperlink"/>
            <w:noProof/>
          </w:rPr>
          <w:t>7.3</w:t>
        </w:r>
        <w:r w:rsidR="008F156B">
          <w:rPr>
            <w:rFonts w:asciiTheme="minorHAnsi" w:eastAsiaTheme="minorEastAsia" w:hAnsiTheme="minorHAnsi" w:cstheme="minorBidi"/>
            <w:noProof/>
            <w:sz w:val="22"/>
            <w:szCs w:val="22"/>
            <w:lang w:val="nl-NL" w:eastAsia="nl-NL"/>
          </w:rPr>
          <w:tab/>
        </w:r>
        <w:r w:rsidR="008F156B" w:rsidRPr="009D06C6">
          <w:rPr>
            <w:rStyle w:val="Hyperlink"/>
            <w:noProof/>
          </w:rPr>
          <w:t>Poverty and social inclusion</w:t>
        </w:r>
        <w:r w:rsidR="008F156B">
          <w:rPr>
            <w:noProof/>
            <w:webHidden/>
          </w:rPr>
          <w:tab/>
        </w:r>
        <w:r w:rsidR="008F156B">
          <w:rPr>
            <w:noProof/>
            <w:webHidden/>
          </w:rPr>
          <w:fldChar w:fldCharType="begin"/>
        </w:r>
        <w:r w:rsidR="008F156B">
          <w:rPr>
            <w:noProof/>
            <w:webHidden/>
          </w:rPr>
          <w:instrText xml:space="preserve"> PAGEREF _Toc483409979 \h </w:instrText>
        </w:r>
        <w:r w:rsidR="008F156B">
          <w:rPr>
            <w:noProof/>
            <w:webHidden/>
          </w:rPr>
        </w:r>
        <w:r w:rsidR="008F156B">
          <w:rPr>
            <w:noProof/>
            <w:webHidden/>
          </w:rPr>
          <w:fldChar w:fldCharType="separate"/>
        </w:r>
        <w:r w:rsidR="008F156B">
          <w:rPr>
            <w:noProof/>
            <w:webHidden/>
          </w:rPr>
          <w:t>44</w:t>
        </w:r>
        <w:r w:rsidR="008F156B">
          <w:rPr>
            <w:noProof/>
            <w:webHidden/>
          </w:rPr>
          <w:fldChar w:fldCharType="end"/>
        </w:r>
      </w:hyperlink>
    </w:p>
    <w:p w14:paraId="05D87061" w14:textId="698973D9" w:rsidR="008F156B" w:rsidRDefault="003E4D02">
      <w:pPr>
        <w:pStyle w:val="TOC1"/>
        <w:tabs>
          <w:tab w:val="right" w:leader="dot" w:pos="9060"/>
        </w:tabs>
        <w:rPr>
          <w:rFonts w:asciiTheme="minorHAnsi" w:eastAsiaTheme="minorEastAsia" w:hAnsiTheme="minorHAnsi" w:cstheme="minorBidi"/>
          <w:noProof/>
          <w:sz w:val="22"/>
          <w:szCs w:val="22"/>
          <w:lang w:val="nl-NL" w:eastAsia="nl-NL"/>
        </w:rPr>
      </w:pPr>
      <w:hyperlink w:anchor="_Toc483409980" w:history="1">
        <w:r w:rsidR="008F156B" w:rsidRPr="009D06C6">
          <w:rPr>
            <w:rStyle w:val="Hyperlink"/>
            <w:noProof/>
          </w:rPr>
          <w:t>Appendix I</w:t>
        </w:r>
        <w:r w:rsidR="008F156B">
          <w:rPr>
            <w:noProof/>
            <w:webHidden/>
          </w:rPr>
          <w:tab/>
        </w:r>
        <w:r w:rsidR="008F156B">
          <w:rPr>
            <w:noProof/>
            <w:webHidden/>
          </w:rPr>
          <w:fldChar w:fldCharType="begin"/>
        </w:r>
        <w:r w:rsidR="008F156B">
          <w:rPr>
            <w:noProof/>
            <w:webHidden/>
          </w:rPr>
          <w:instrText xml:space="preserve"> PAGEREF _Toc483409980 \h </w:instrText>
        </w:r>
        <w:r w:rsidR="008F156B">
          <w:rPr>
            <w:noProof/>
            <w:webHidden/>
          </w:rPr>
        </w:r>
        <w:r w:rsidR="008F156B">
          <w:rPr>
            <w:noProof/>
            <w:webHidden/>
          </w:rPr>
          <w:fldChar w:fldCharType="separate"/>
        </w:r>
        <w:r w:rsidR="008F156B">
          <w:rPr>
            <w:noProof/>
            <w:webHidden/>
          </w:rPr>
          <w:t>46</w:t>
        </w:r>
        <w:r w:rsidR="008F156B">
          <w:rPr>
            <w:noProof/>
            <w:webHidden/>
          </w:rPr>
          <w:fldChar w:fldCharType="end"/>
        </w:r>
      </w:hyperlink>
    </w:p>
    <w:p w14:paraId="6C8D1C80" w14:textId="5676E896" w:rsidR="003232CD" w:rsidRPr="00350989" w:rsidRDefault="00DC02E6" w:rsidP="000D7F61">
      <w:pPr>
        <w:spacing w:after="0"/>
      </w:pPr>
      <w:r w:rsidRPr="00350989">
        <w:fldChar w:fldCharType="end"/>
      </w:r>
    </w:p>
    <w:p w14:paraId="7C8B48CB" w14:textId="77777777" w:rsidR="00A14F67" w:rsidRPr="00350989" w:rsidRDefault="00A14F67" w:rsidP="000D7F61">
      <w:pPr>
        <w:spacing w:after="0"/>
      </w:pPr>
    </w:p>
    <w:p w14:paraId="06747BFA" w14:textId="7CB40A04" w:rsidR="004D01C6" w:rsidRPr="00350989" w:rsidRDefault="004D01C6" w:rsidP="001A4BE6">
      <w:pPr>
        <w:pStyle w:val="Heading1"/>
      </w:pPr>
      <w:bookmarkStart w:id="1" w:name="_Toc440298944"/>
      <w:bookmarkStart w:id="2" w:name="_Toc483409951"/>
      <w:r w:rsidRPr="00350989">
        <w:lastRenderedPageBreak/>
        <w:t>Summary of the overall situation and challenges</w:t>
      </w:r>
      <w:bookmarkEnd w:id="1"/>
      <w:bookmarkEnd w:id="2"/>
    </w:p>
    <w:p w14:paraId="72571415" w14:textId="77777777" w:rsidR="001D0EDB" w:rsidRPr="00350989" w:rsidRDefault="001D0EDB" w:rsidP="000D7F61">
      <w:pPr>
        <w:spacing w:after="0"/>
        <w:rPr>
          <w:lang w:eastAsia="x-none"/>
        </w:rPr>
      </w:pPr>
    </w:p>
    <w:p w14:paraId="3DC4CC69" w14:textId="2A3FF2EC" w:rsidR="00CA5D58" w:rsidRPr="00350989" w:rsidRDefault="00CA5D58" w:rsidP="000D7F61">
      <w:pPr>
        <w:spacing w:after="0"/>
      </w:pPr>
      <w:r w:rsidRPr="00350989">
        <w:t>Despite some progress in promoting disability rights in employment, social inclusion (reduction of poverty) and education there are many issues that need to be addressed if Cyprus is to meet its legal obligations as a signatory of the UNCRPD. An issue that raises significant concerns is the lack of national data on disability. This is a manifestation of the low priority given to disability issues in the Cypriot context, bearing in mind that many policy initiatives aimed at addressing the needs of vulnerable groups of people do not include or do not specifically refer to disabled people. Even in cases where there are some data available, these are based on a very limited sample and as a result the validity of the data is significantly undermined.</w:t>
      </w:r>
    </w:p>
    <w:p w14:paraId="61CA96CD" w14:textId="77777777" w:rsidR="001D0EDB" w:rsidRPr="00350989" w:rsidRDefault="001D0EDB" w:rsidP="000D7F61">
      <w:pPr>
        <w:spacing w:after="0"/>
      </w:pPr>
    </w:p>
    <w:p w14:paraId="41E2A087" w14:textId="4D6A456A" w:rsidR="00CA5D58" w:rsidRPr="00350989" w:rsidRDefault="00CA5D58" w:rsidP="000D7F61">
      <w:pPr>
        <w:autoSpaceDE w:val="0"/>
        <w:autoSpaceDN w:val="0"/>
        <w:adjustRightInd w:val="0"/>
        <w:spacing w:after="0"/>
        <w:rPr>
          <w:color w:val="000000"/>
        </w:rPr>
      </w:pPr>
      <w:r w:rsidRPr="00350989">
        <w:t>In terms of education, for example, there is patent lack of data on the quality of the learning support provided to students designated as having special educational needs and/or disabilities (SEN/D), along with the impact of this support on students’ progress. This kind of data is crucially important in order to promote accountability with regard to the educational outcomes of students with SEN/D</w:t>
      </w:r>
      <w:r w:rsidR="00395593" w:rsidRPr="00350989">
        <w:rPr>
          <w:rStyle w:val="FootnoteReference"/>
        </w:rPr>
        <w:footnoteReference w:id="2"/>
      </w:r>
      <w:r w:rsidRPr="00350989">
        <w:t xml:space="preserve"> and by implication, to reduce the numbers of early school leavers on the grounds of disability. It is imperative that national data on disability is improved, standardized and consistently reviewed so as to understand the barriers that disabled people experience in their daily lives, with a view to formulating/revising relevant policies and devising national action plans to address gaps in policy and provision. For instance, the national average poverty risk on the grounds of disability is higher than the EU average, hence it is necessary to address this discrepancy by formulating social policies to address issues of poverty and enhance social inclusion on the grounds of disability. Providing effective measures of support on the grounds of disability necessitates taking into consideration the idiomorphic nature of disability experience, along with the ways in which it is distinguished from, and intersects with, other sources of social disadvantage</w:t>
      </w:r>
      <w:r w:rsidRPr="00350989">
        <w:rPr>
          <w:color w:val="000000"/>
        </w:rPr>
        <w:t>.</w:t>
      </w:r>
      <w:r w:rsidRPr="00350989">
        <w:rPr>
          <w:rStyle w:val="FootnoteReference"/>
          <w:color w:val="000000"/>
        </w:rPr>
        <w:footnoteReference w:id="3"/>
      </w:r>
      <w:r w:rsidRPr="00350989">
        <w:rPr>
          <w:color w:val="000000"/>
        </w:rPr>
        <w:t xml:space="preserve"> </w:t>
      </w:r>
      <w:r w:rsidRPr="00350989">
        <w:t>Another significant issue that needs to be taken into consideration is the prevalence of discriminatory attitudes towards persons with disabilities who are denied access to work and employment both in the private and public sector</w:t>
      </w:r>
      <w:r w:rsidR="00AA489E">
        <w:t>.</w:t>
      </w:r>
      <w:r w:rsidRPr="00350989">
        <w:rPr>
          <w:rStyle w:val="FootnoteReference"/>
        </w:rPr>
        <w:footnoteReference w:id="4"/>
      </w:r>
      <w:r w:rsidR="00A43D96" w:rsidRPr="00350989">
        <w:t xml:space="preserve"> </w:t>
      </w:r>
      <w:r w:rsidRPr="00350989">
        <w:t>A considerable number of work-related discriminatory Incidences of people with disabilities in Cyprus have been investigated by the office of the Commissioner for Administration and Human Rights (Ombudsman)</w:t>
      </w:r>
      <w:r w:rsidRPr="00350989">
        <w:rPr>
          <w:rStyle w:val="FootnoteReference"/>
        </w:rPr>
        <w:footnoteReference w:id="5"/>
      </w:r>
      <w:r w:rsidR="00A43D96" w:rsidRPr="00350989">
        <w:t xml:space="preserve"> </w:t>
      </w:r>
      <w:r w:rsidRPr="00350989">
        <w:t xml:space="preserve">implementation process and to address issues related to discriminatory attitudes and practices towards persons with disabilities. Given the above considerations, the EU should provide more detailed guidelines, harmonization criteria and should establish international and independent </w:t>
      </w:r>
      <w:r w:rsidRPr="00350989">
        <w:lastRenderedPageBreak/>
        <w:t xml:space="preserve">local monitoring bodies in order to enhance national accountability regimes on safeguarding disability rights in accordance with the stipulations of the UNCRPD. </w:t>
      </w:r>
    </w:p>
    <w:p w14:paraId="2E35205A" w14:textId="77777777" w:rsidR="001341CA" w:rsidRPr="00350989" w:rsidRDefault="001341CA" w:rsidP="001A4BE6">
      <w:pPr>
        <w:pStyle w:val="Heading1"/>
      </w:pPr>
      <w:bookmarkStart w:id="3" w:name="_Toc440298945"/>
      <w:bookmarkStart w:id="4" w:name="_Toc483409952"/>
      <w:r w:rsidRPr="00350989">
        <w:lastRenderedPageBreak/>
        <w:t xml:space="preserve">Assessment of the situation </w:t>
      </w:r>
      <w:r w:rsidR="000D320A" w:rsidRPr="00350989">
        <w:t xml:space="preserve">of disabled people </w:t>
      </w:r>
      <w:r w:rsidRPr="00350989">
        <w:t>with respect to the Europe 2020 headline targets</w:t>
      </w:r>
      <w:bookmarkEnd w:id="3"/>
      <w:bookmarkEnd w:id="4"/>
    </w:p>
    <w:p w14:paraId="4726F735" w14:textId="77777777" w:rsidR="00FF1585" w:rsidRPr="00350989" w:rsidRDefault="00FF1585" w:rsidP="00775294">
      <w:pPr>
        <w:spacing w:after="0"/>
      </w:pPr>
    </w:p>
    <w:p w14:paraId="3CE69647" w14:textId="7CAD289D" w:rsidR="001341CA" w:rsidRPr="00350989" w:rsidRDefault="00EA2651" w:rsidP="004F312C">
      <w:pPr>
        <w:pStyle w:val="Heading2"/>
        <w:rPr>
          <w:vanish/>
        </w:rPr>
      </w:pPr>
      <w:bookmarkStart w:id="5" w:name="_Toc440298946"/>
      <w:bookmarkStart w:id="6" w:name="_Toc483409953"/>
      <w:r w:rsidRPr="00350989">
        <w:t>Strategic</w:t>
      </w:r>
      <w:r w:rsidR="000D320A" w:rsidRPr="00350989">
        <w:t xml:space="preserve"> targets</w:t>
      </w:r>
      <w:bookmarkEnd w:id="5"/>
      <w:bookmarkEnd w:id="6"/>
    </w:p>
    <w:p w14:paraId="75C0DC0A" w14:textId="588F5CFB" w:rsidR="00350989" w:rsidRDefault="00350989" w:rsidP="00350989">
      <w:pPr>
        <w:spacing w:after="0"/>
      </w:pPr>
    </w:p>
    <w:p w14:paraId="0EEEF383" w14:textId="77777777" w:rsidR="008F156B" w:rsidRPr="00350989" w:rsidRDefault="008F156B" w:rsidP="00350989">
      <w:pPr>
        <w:spacing w:after="0"/>
      </w:pPr>
    </w:p>
    <w:p w14:paraId="6724E619" w14:textId="77777777" w:rsidR="00B12ADE" w:rsidRPr="00350989" w:rsidRDefault="00B12ADE" w:rsidP="000D7F61">
      <w:pPr>
        <w:pStyle w:val="Caption"/>
        <w:spacing w:after="0"/>
        <w:rPr>
          <w:sz w:val="24"/>
          <w:szCs w:val="24"/>
        </w:rPr>
      </w:pPr>
      <w:r w:rsidRPr="00350989">
        <w:rPr>
          <w:sz w:val="24"/>
          <w:szCs w:val="24"/>
        </w:rPr>
        <w:t xml:space="preserve">Table </w:t>
      </w:r>
      <w:r w:rsidR="00523CBD" w:rsidRPr="00350989">
        <w:rPr>
          <w:sz w:val="24"/>
          <w:szCs w:val="24"/>
        </w:rPr>
        <w:fldChar w:fldCharType="begin"/>
      </w:r>
      <w:r w:rsidR="00ED28F8" w:rsidRPr="00350989">
        <w:rPr>
          <w:sz w:val="24"/>
          <w:szCs w:val="24"/>
        </w:rPr>
        <w:instrText xml:space="preserve"> SEQ Table \* ARABIC </w:instrText>
      </w:r>
      <w:r w:rsidR="00523CBD" w:rsidRPr="00350989">
        <w:rPr>
          <w:sz w:val="24"/>
          <w:szCs w:val="24"/>
        </w:rPr>
        <w:fldChar w:fldCharType="separate"/>
      </w:r>
      <w:r w:rsidR="00E51EC7" w:rsidRPr="00350989">
        <w:rPr>
          <w:noProof/>
          <w:sz w:val="24"/>
          <w:szCs w:val="24"/>
        </w:rPr>
        <w:t>1</w:t>
      </w:r>
      <w:r w:rsidR="00523CBD" w:rsidRPr="00350989">
        <w:rPr>
          <w:noProof/>
          <w:sz w:val="24"/>
          <w:szCs w:val="24"/>
        </w:rPr>
        <w:fldChar w:fldCharType="end"/>
      </w:r>
      <w:r w:rsidRPr="00350989">
        <w:rPr>
          <w:sz w:val="24"/>
          <w:szCs w:val="24"/>
        </w:rPr>
        <w:t xml:space="preserve">: Europe 2020 and </w:t>
      </w:r>
      <w:r w:rsidR="00EA2651" w:rsidRPr="00350989">
        <w:rPr>
          <w:sz w:val="24"/>
          <w:szCs w:val="24"/>
        </w:rPr>
        <w:t xml:space="preserve">agreed </w:t>
      </w:r>
      <w:r w:rsidRPr="00350989">
        <w:rPr>
          <w:sz w:val="24"/>
          <w:szCs w:val="24"/>
        </w:rPr>
        <w:t>national targets</w:t>
      </w:r>
      <w:r w:rsidR="00DC521C" w:rsidRPr="00350989">
        <w:rPr>
          <w:sz w:val="24"/>
          <w:szCs w:val="24"/>
        </w:rPr>
        <w:t xml:space="preserve"> for the general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19"/>
      </w:tblGrid>
      <w:tr w:rsidR="00B12ADE" w:rsidRPr="00185E73" w14:paraId="12901228" w14:textId="77777777" w:rsidTr="00B12ADE">
        <w:tc>
          <w:tcPr>
            <w:tcW w:w="1667" w:type="pct"/>
            <w:shd w:val="clear" w:color="auto" w:fill="auto"/>
          </w:tcPr>
          <w:p w14:paraId="0D9C45F2" w14:textId="77777777" w:rsidR="00B12ADE" w:rsidRPr="00185E73" w:rsidRDefault="00B12ADE" w:rsidP="000D7F61">
            <w:pPr>
              <w:spacing w:after="0"/>
              <w:rPr>
                <w:sz w:val="20"/>
              </w:rPr>
            </w:pPr>
          </w:p>
        </w:tc>
        <w:tc>
          <w:tcPr>
            <w:tcW w:w="1667" w:type="pct"/>
            <w:shd w:val="clear" w:color="auto" w:fill="auto"/>
          </w:tcPr>
          <w:p w14:paraId="3F3407DE" w14:textId="77777777" w:rsidR="00B12ADE" w:rsidRPr="00185E73" w:rsidRDefault="00B12ADE" w:rsidP="000D7F61">
            <w:pPr>
              <w:spacing w:after="0"/>
              <w:rPr>
                <w:sz w:val="20"/>
              </w:rPr>
            </w:pPr>
            <w:r w:rsidRPr="00185E73">
              <w:rPr>
                <w:sz w:val="20"/>
              </w:rPr>
              <w:t>Europe 2020 targets</w:t>
            </w:r>
          </w:p>
        </w:tc>
        <w:tc>
          <w:tcPr>
            <w:tcW w:w="1666" w:type="pct"/>
            <w:shd w:val="clear" w:color="auto" w:fill="auto"/>
          </w:tcPr>
          <w:p w14:paraId="4A1E96E8" w14:textId="77777777" w:rsidR="00B12ADE" w:rsidRPr="00185E73" w:rsidRDefault="00B12ADE" w:rsidP="000D7F61">
            <w:pPr>
              <w:spacing w:after="0"/>
              <w:rPr>
                <w:sz w:val="20"/>
              </w:rPr>
            </w:pPr>
            <w:r w:rsidRPr="00185E73">
              <w:rPr>
                <w:sz w:val="20"/>
              </w:rPr>
              <w:t>National targets</w:t>
            </w:r>
            <w:r w:rsidR="00DC521C" w:rsidRPr="00185E73">
              <w:rPr>
                <w:rStyle w:val="FootnoteReference"/>
                <w:b/>
                <w:bCs/>
                <w:sz w:val="20"/>
              </w:rPr>
              <w:footnoteReference w:id="6"/>
            </w:r>
          </w:p>
        </w:tc>
      </w:tr>
      <w:tr w:rsidR="00B12ADE" w:rsidRPr="00185E73" w14:paraId="4D1BD8EE" w14:textId="77777777" w:rsidTr="00B12ADE">
        <w:tc>
          <w:tcPr>
            <w:tcW w:w="1667" w:type="pct"/>
            <w:shd w:val="clear" w:color="auto" w:fill="auto"/>
          </w:tcPr>
          <w:p w14:paraId="3C155422" w14:textId="77777777" w:rsidR="00B12ADE" w:rsidRPr="00185E73" w:rsidRDefault="00B12ADE" w:rsidP="000D7F61">
            <w:pPr>
              <w:spacing w:after="0"/>
              <w:rPr>
                <w:sz w:val="20"/>
              </w:rPr>
            </w:pPr>
            <w:r w:rsidRPr="00185E73">
              <w:rPr>
                <w:sz w:val="20"/>
              </w:rPr>
              <w:t>Employment</w:t>
            </w:r>
          </w:p>
        </w:tc>
        <w:tc>
          <w:tcPr>
            <w:tcW w:w="1667" w:type="pct"/>
            <w:shd w:val="clear" w:color="auto" w:fill="auto"/>
          </w:tcPr>
          <w:p w14:paraId="194980C2" w14:textId="2A224B10" w:rsidR="00B12ADE" w:rsidRPr="00185E73" w:rsidRDefault="00B12ADE" w:rsidP="000D7F61">
            <w:pPr>
              <w:spacing w:after="0"/>
              <w:rPr>
                <w:sz w:val="20"/>
              </w:rPr>
            </w:pPr>
            <w:r w:rsidRPr="00185E73">
              <w:rPr>
                <w:sz w:val="20"/>
              </w:rPr>
              <w:t>75</w:t>
            </w:r>
            <w:r w:rsidR="009A0575" w:rsidRPr="00185E73">
              <w:rPr>
                <w:sz w:val="20"/>
              </w:rPr>
              <w:t xml:space="preserve"> %</w:t>
            </w:r>
            <w:r w:rsidRPr="00185E73">
              <w:rPr>
                <w:sz w:val="20"/>
              </w:rPr>
              <w:t xml:space="preserve"> of the 20-64 year-olds to be employed</w:t>
            </w:r>
          </w:p>
        </w:tc>
        <w:tc>
          <w:tcPr>
            <w:tcW w:w="1666" w:type="pct"/>
            <w:shd w:val="clear" w:color="auto" w:fill="auto"/>
          </w:tcPr>
          <w:p w14:paraId="33DD553D" w14:textId="0E5B5E16" w:rsidR="00B12ADE" w:rsidRPr="00185E73" w:rsidRDefault="001453BF" w:rsidP="000D7F61">
            <w:pPr>
              <w:spacing w:after="0"/>
              <w:rPr>
                <w:sz w:val="20"/>
              </w:rPr>
            </w:pPr>
            <w:r w:rsidRPr="00185E73">
              <w:rPr>
                <w:sz w:val="20"/>
              </w:rPr>
              <w:t>75-77</w:t>
            </w:r>
            <w:r w:rsidR="009A0575" w:rsidRPr="00185E73">
              <w:rPr>
                <w:sz w:val="20"/>
              </w:rPr>
              <w:t xml:space="preserve"> %</w:t>
            </w:r>
          </w:p>
        </w:tc>
      </w:tr>
      <w:tr w:rsidR="00B12ADE" w:rsidRPr="00185E73" w14:paraId="11EA38E3" w14:textId="77777777" w:rsidTr="00B12ADE">
        <w:tc>
          <w:tcPr>
            <w:tcW w:w="1667" w:type="pct"/>
            <w:vMerge w:val="restart"/>
            <w:shd w:val="clear" w:color="auto" w:fill="auto"/>
          </w:tcPr>
          <w:p w14:paraId="405DFF26" w14:textId="77777777" w:rsidR="00B12ADE" w:rsidRPr="00185E73" w:rsidRDefault="00B12ADE" w:rsidP="000D7F61">
            <w:pPr>
              <w:spacing w:after="0"/>
              <w:rPr>
                <w:sz w:val="20"/>
              </w:rPr>
            </w:pPr>
            <w:r w:rsidRPr="00185E73">
              <w:rPr>
                <w:sz w:val="20"/>
              </w:rPr>
              <w:t>Education</w:t>
            </w:r>
          </w:p>
        </w:tc>
        <w:tc>
          <w:tcPr>
            <w:tcW w:w="1667" w:type="pct"/>
            <w:shd w:val="clear" w:color="auto" w:fill="auto"/>
          </w:tcPr>
          <w:p w14:paraId="711222BA" w14:textId="2A9DD8C5" w:rsidR="00B12ADE" w:rsidRPr="00185E73" w:rsidRDefault="00B12ADE" w:rsidP="000D7F61">
            <w:pPr>
              <w:spacing w:after="0"/>
              <w:rPr>
                <w:sz w:val="20"/>
              </w:rPr>
            </w:pPr>
            <w:r w:rsidRPr="00185E73">
              <w:rPr>
                <w:sz w:val="20"/>
              </w:rPr>
              <w:t>Reducing the rates of early school leaving below 10</w:t>
            </w:r>
            <w:r w:rsidR="009A0575" w:rsidRPr="00185E73">
              <w:rPr>
                <w:sz w:val="20"/>
              </w:rPr>
              <w:t xml:space="preserve"> %</w:t>
            </w:r>
          </w:p>
        </w:tc>
        <w:tc>
          <w:tcPr>
            <w:tcW w:w="1666" w:type="pct"/>
            <w:shd w:val="clear" w:color="auto" w:fill="auto"/>
          </w:tcPr>
          <w:p w14:paraId="5FCB362D" w14:textId="69076DB4" w:rsidR="00B12ADE" w:rsidRPr="00185E73" w:rsidRDefault="001453BF" w:rsidP="000D7F61">
            <w:pPr>
              <w:spacing w:after="0"/>
              <w:rPr>
                <w:sz w:val="20"/>
              </w:rPr>
            </w:pPr>
            <w:r w:rsidRPr="00185E73">
              <w:rPr>
                <w:sz w:val="20"/>
              </w:rPr>
              <w:t>10</w:t>
            </w:r>
            <w:r w:rsidR="009A0575" w:rsidRPr="00185E73">
              <w:rPr>
                <w:sz w:val="20"/>
              </w:rPr>
              <w:t xml:space="preserve"> %</w:t>
            </w:r>
          </w:p>
        </w:tc>
      </w:tr>
      <w:tr w:rsidR="00B12ADE" w:rsidRPr="00185E73" w14:paraId="48F6252B" w14:textId="77777777" w:rsidTr="00B12ADE">
        <w:tc>
          <w:tcPr>
            <w:tcW w:w="1667" w:type="pct"/>
            <w:vMerge/>
            <w:shd w:val="clear" w:color="auto" w:fill="auto"/>
          </w:tcPr>
          <w:p w14:paraId="61951C74" w14:textId="77777777" w:rsidR="00B12ADE" w:rsidRPr="00185E73" w:rsidRDefault="00B12ADE" w:rsidP="000D7F61">
            <w:pPr>
              <w:spacing w:after="0"/>
              <w:rPr>
                <w:sz w:val="20"/>
              </w:rPr>
            </w:pPr>
          </w:p>
        </w:tc>
        <w:tc>
          <w:tcPr>
            <w:tcW w:w="1667" w:type="pct"/>
            <w:shd w:val="clear" w:color="auto" w:fill="auto"/>
          </w:tcPr>
          <w:p w14:paraId="30716CA0" w14:textId="29186EFE" w:rsidR="00B12ADE" w:rsidRPr="00185E73" w:rsidRDefault="00B12ADE" w:rsidP="000D7F61">
            <w:pPr>
              <w:spacing w:after="0"/>
              <w:rPr>
                <w:sz w:val="20"/>
              </w:rPr>
            </w:pPr>
            <w:r w:rsidRPr="00185E73">
              <w:rPr>
                <w:sz w:val="20"/>
              </w:rPr>
              <w:t>At least 40</w:t>
            </w:r>
            <w:r w:rsidR="009A0575" w:rsidRPr="00185E73">
              <w:rPr>
                <w:sz w:val="20"/>
              </w:rPr>
              <w:t xml:space="preserve"> %</w:t>
            </w:r>
            <w:r w:rsidRPr="00185E73">
              <w:rPr>
                <w:sz w:val="20"/>
              </w:rPr>
              <w:t xml:space="preserve"> of 30-34–year-olds completing third level education</w:t>
            </w:r>
          </w:p>
        </w:tc>
        <w:tc>
          <w:tcPr>
            <w:tcW w:w="1666" w:type="pct"/>
            <w:shd w:val="clear" w:color="auto" w:fill="auto"/>
          </w:tcPr>
          <w:p w14:paraId="0A6111D7" w14:textId="6880036C" w:rsidR="00B12ADE" w:rsidRPr="00185E73" w:rsidRDefault="001453BF" w:rsidP="000D7F61">
            <w:pPr>
              <w:spacing w:after="0"/>
              <w:rPr>
                <w:sz w:val="20"/>
              </w:rPr>
            </w:pPr>
            <w:r w:rsidRPr="00185E73">
              <w:rPr>
                <w:sz w:val="20"/>
              </w:rPr>
              <w:t>46</w:t>
            </w:r>
            <w:r w:rsidR="009A0575" w:rsidRPr="00185E73">
              <w:rPr>
                <w:sz w:val="20"/>
              </w:rPr>
              <w:t xml:space="preserve"> %</w:t>
            </w:r>
          </w:p>
        </w:tc>
      </w:tr>
      <w:tr w:rsidR="00B12ADE" w:rsidRPr="00185E73" w14:paraId="63CFA955" w14:textId="77777777" w:rsidTr="00B12ADE">
        <w:tc>
          <w:tcPr>
            <w:tcW w:w="1667" w:type="pct"/>
            <w:shd w:val="clear" w:color="auto" w:fill="auto"/>
          </w:tcPr>
          <w:p w14:paraId="25FCC813" w14:textId="77777777" w:rsidR="00B12ADE" w:rsidRPr="00185E73" w:rsidRDefault="00B12ADE" w:rsidP="000D7F61">
            <w:pPr>
              <w:spacing w:after="0"/>
              <w:rPr>
                <w:sz w:val="20"/>
              </w:rPr>
            </w:pPr>
            <w:r w:rsidRPr="00185E73">
              <w:rPr>
                <w:sz w:val="20"/>
              </w:rPr>
              <w:t>Fighting poverty and social exclusion</w:t>
            </w:r>
          </w:p>
        </w:tc>
        <w:tc>
          <w:tcPr>
            <w:tcW w:w="1667" w:type="pct"/>
            <w:shd w:val="clear" w:color="auto" w:fill="auto"/>
          </w:tcPr>
          <w:p w14:paraId="6D94587E" w14:textId="77777777" w:rsidR="00B12ADE" w:rsidRPr="00185E73" w:rsidRDefault="00B12ADE" w:rsidP="000D7F61">
            <w:pPr>
              <w:spacing w:after="0"/>
              <w:rPr>
                <w:sz w:val="20"/>
              </w:rPr>
            </w:pPr>
            <w:r w:rsidRPr="00185E73">
              <w:rPr>
                <w:sz w:val="20"/>
              </w:rPr>
              <w:t>At least 20 million fewer people in or at risk of poverty and social exclusion</w:t>
            </w:r>
          </w:p>
        </w:tc>
        <w:tc>
          <w:tcPr>
            <w:tcW w:w="1666" w:type="pct"/>
            <w:shd w:val="clear" w:color="auto" w:fill="auto"/>
          </w:tcPr>
          <w:p w14:paraId="6F13C093" w14:textId="77777777" w:rsidR="00B12ADE" w:rsidRPr="00185E73" w:rsidRDefault="001453BF" w:rsidP="000D7F61">
            <w:pPr>
              <w:spacing w:after="0"/>
              <w:rPr>
                <w:sz w:val="20"/>
              </w:rPr>
            </w:pPr>
            <w:r w:rsidRPr="00185E73">
              <w:rPr>
                <w:sz w:val="20"/>
              </w:rPr>
              <w:t>27,000</w:t>
            </w:r>
          </w:p>
        </w:tc>
      </w:tr>
    </w:tbl>
    <w:p w14:paraId="30A00B4E" w14:textId="77777777" w:rsidR="00C7318C" w:rsidRPr="00350989" w:rsidRDefault="00C7318C" w:rsidP="000D7F61">
      <w:pPr>
        <w:spacing w:after="0"/>
      </w:pPr>
    </w:p>
    <w:p w14:paraId="06DE789F" w14:textId="77777777" w:rsidR="000336BD" w:rsidRPr="00350989" w:rsidRDefault="00C13B17" w:rsidP="000D7F61">
      <w:pPr>
        <w:pStyle w:val="Un-numberedsubheading"/>
        <w:spacing w:after="0"/>
        <w:rPr>
          <w:rFonts w:cs="Arial"/>
          <w:sz w:val="24"/>
          <w:szCs w:val="24"/>
          <w:lang w:val="en-GB"/>
        </w:rPr>
      </w:pPr>
      <w:r w:rsidRPr="00350989">
        <w:rPr>
          <w:rFonts w:cs="Arial"/>
          <w:sz w:val="24"/>
          <w:szCs w:val="24"/>
          <w:lang w:val="en-GB"/>
        </w:rPr>
        <w:t>R</w:t>
      </w:r>
      <w:r w:rsidR="00A01CD2" w:rsidRPr="00350989">
        <w:rPr>
          <w:rFonts w:cs="Arial"/>
          <w:sz w:val="24"/>
          <w:szCs w:val="24"/>
          <w:lang w:val="en-GB"/>
        </w:rPr>
        <w:t>elevant</w:t>
      </w:r>
      <w:r w:rsidR="00DC521C" w:rsidRPr="00350989">
        <w:rPr>
          <w:rFonts w:cs="Arial"/>
          <w:sz w:val="24"/>
          <w:szCs w:val="24"/>
          <w:lang w:val="en-GB"/>
        </w:rPr>
        <w:t xml:space="preserve"> </w:t>
      </w:r>
      <w:r w:rsidR="000336BD" w:rsidRPr="00350989">
        <w:rPr>
          <w:rFonts w:cs="Arial"/>
          <w:sz w:val="24"/>
          <w:szCs w:val="24"/>
          <w:lang w:val="en-GB"/>
        </w:rPr>
        <w:t>disability</w:t>
      </w:r>
      <w:r w:rsidR="004E5CCD" w:rsidRPr="00350989">
        <w:rPr>
          <w:rFonts w:cs="Arial"/>
          <w:sz w:val="24"/>
          <w:szCs w:val="24"/>
          <w:lang w:val="en-GB"/>
        </w:rPr>
        <w:t xml:space="preserve"> </w:t>
      </w:r>
      <w:r w:rsidR="000336BD" w:rsidRPr="00350989">
        <w:rPr>
          <w:rFonts w:cs="Arial"/>
          <w:sz w:val="24"/>
          <w:szCs w:val="24"/>
          <w:lang w:val="en-GB"/>
        </w:rPr>
        <w:t>ta</w:t>
      </w:r>
      <w:r w:rsidR="000336BD" w:rsidRPr="00350989">
        <w:rPr>
          <w:rStyle w:val="Un-numberedsubheadingChar"/>
          <w:rFonts w:cs="Arial"/>
          <w:sz w:val="24"/>
          <w:szCs w:val="24"/>
          <w:lang w:val="en-GB"/>
        </w:rPr>
        <w:t>r</w:t>
      </w:r>
      <w:r w:rsidR="000336BD" w:rsidRPr="00350989">
        <w:rPr>
          <w:rFonts w:cs="Arial"/>
          <w:sz w:val="24"/>
          <w:szCs w:val="24"/>
          <w:lang w:val="en-GB"/>
        </w:rPr>
        <w:t>gets</w:t>
      </w:r>
      <w:r w:rsidR="00DC521C" w:rsidRPr="00350989">
        <w:rPr>
          <w:rFonts w:cs="Arial"/>
          <w:sz w:val="24"/>
          <w:szCs w:val="24"/>
          <w:lang w:val="en-GB"/>
        </w:rPr>
        <w:t xml:space="preserve"> from national </w:t>
      </w:r>
      <w:r w:rsidR="005E1C80" w:rsidRPr="00350989">
        <w:rPr>
          <w:rFonts w:cs="Arial"/>
          <w:sz w:val="24"/>
          <w:szCs w:val="24"/>
          <w:lang w:val="en-GB"/>
        </w:rPr>
        <w:t xml:space="preserve">strategies or </w:t>
      </w:r>
      <w:r w:rsidR="00DC521C" w:rsidRPr="00350989">
        <w:rPr>
          <w:rFonts w:cs="Arial"/>
          <w:sz w:val="24"/>
          <w:szCs w:val="24"/>
          <w:lang w:val="en-GB"/>
        </w:rPr>
        <w:t>sources</w:t>
      </w:r>
      <w:r w:rsidR="000336BD" w:rsidRPr="00350989">
        <w:rPr>
          <w:rFonts w:cs="Arial"/>
          <w:sz w:val="24"/>
          <w:szCs w:val="24"/>
          <w:lang w:val="en-GB"/>
        </w:rPr>
        <w:t>:</w:t>
      </w:r>
    </w:p>
    <w:p w14:paraId="1FC6119A" w14:textId="77777777" w:rsidR="00FF1585" w:rsidRPr="00350989" w:rsidRDefault="00FF1585" w:rsidP="000D7F61">
      <w:pPr>
        <w:spacing w:after="0"/>
      </w:pPr>
    </w:p>
    <w:p w14:paraId="4906AA75" w14:textId="77777777" w:rsidR="00543574" w:rsidRPr="00350989" w:rsidRDefault="0047787B" w:rsidP="000D7F61">
      <w:pPr>
        <w:spacing w:after="0"/>
      </w:pPr>
      <w:r w:rsidRPr="00350989">
        <w:t>A large number of actions were detailed as policy objectives in the National Disability Action Plan (2013-2015)</w:t>
      </w:r>
      <w:r w:rsidRPr="00350989">
        <w:rPr>
          <w:rStyle w:val="FootnoteReference"/>
        </w:rPr>
        <w:footnoteReference w:id="7"/>
      </w:r>
      <w:r w:rsidRPr="00350989">
        <w:t xml:space="preserve"> with respect to employment, education and fighting poverty and social exclusion but none of the documents refer to specific targets (precise and measurable) with respect to people with disabilities. No updated</w:t>
      </w:r>
      <w:r w:rsidR="00543574" w:rsidRPr="00350989">
        <w:t xml:space="preserve"> version for 2016 is available.</w:t>
      </w:r>
    </w:p>
    <w:p w14:paraId="5C5CEC81" w14:textId="77777777" w:rsidR="00543574" w:rsidRPr="00350989" w:rsidRDefault="00543574" w:rsidP="000D7F61">
      <w:pPr>
        <w:spacing w:after="0"/>
      </w:pPr>
    </w:p>
    <w:p w14:paraId="4F6C3D57" w14:textId="767054E2" w:rsidR="003F0B48" w:rsidRPr="00350989" w:rsidRDefault="00635878" w:rsidP="000D7F61">
      <w:pPr>
        <w:spacing w:after="0"/>
      </w:pPr>
      <w:r w:rsidRPr="00350989">
        <w:t xml:space="preserve">The 2016 </w:t>
      </w:r>
      <w:r w:rsidR="00053D84" w:rsidRPr="00350989">
        <w:t>documents</w:t>
      </w:r>
      <w:r w:rsidRPr="00350989">
        <w:t xml:space="preserve"> on EU2020 strategy for Cyprus</w:t>
      </w:r>
      <w:r w:rsidR="00053D84" w:rsidRPr="00350989">
        <w:t xml:space="preserve"> (NRP, 201</w:t>
      </w:r>
      <w:r w:rsidR="00A12D09" w:rsidRPr="00350989">
        <w:t>6</w:t>
      </w:r>
      <w:r w:rsidR="00053D84" w:rsidRPr="00350989">
        <w:t>,</w:t>
      </w:r>
      <w:r w:rsidR="00053D84" w:rsidRPr="00350989">
        <w:rPr>
          <w:rStyle w:val="FootnoteReference"/>
        </w:rPr>
        <w:footnoteReference w:id="8"/>
      </w:r>
      <w:r w:rsidR="00053D84" w:rsidRPr="00350989">
        <w:t xml:space="preserve"> S</w:t>
      </w:r>
      <w:r w:rsidRPr="00350989">
        <w:t>P</w:t>
      </w:r>
      <w:r w:rsidR="00543574" w:rsidRPr="00350989">
        <w:t>,</w:t>
      </w:r>
      <w:r w:rsidRPr="00350989">
        <w:rPr>
          <w:rStyle w:val="FootnoteReference"/>
        </w:rPr>
        <w:footnoteReference w:id="9"/>
      </w:r>
      <w:r w:rsidR="00053D84" w:rsidRPr="00350989">
        <w:t xml:space="preserve"> </w:t>
      </w:r>
      <w:r w:rsidRPr="00350989">
        <w:t xml:space="preserve">2016-2019, CSW, </w:t>
      </w:r>
      <w:r w:rsidR="00053D84" w:rsidRPr="00350989">
        <w:t>201</w:t>
      </w:r>
      <w:r w:rsidRPr="00350989">
        <w:t>6</w:t>
      </w:r>
      <w:r w:rsidR="00543574" w:rsidRPr="00350989">
        <w:t>)</w:t>
      </w:r>
      <w:r w:rsidR="00053D84" w:rsidRPr="00350989">
        <w:t>,</w:t>
      </w:r>
      <w:r w:rsidR="00053D84" w:rsidRPr="00350989">
        <w:rPr>
          <w:rStyle w:val="FootnoteReference"/>
        </w:rPr>
        <w:footnoteReference w:id="10"/>
      </w:r>
      <w:r w:rsidRPr="00350989">
        <w:t xml:space="preserve"> do not make particular reference to disability related targets. In contrast to 2014 and 2015 the focus is less on the provisions for social protection for vulnerable groups (including people with disabilities) as a</w:t>
      </w:r>
      <w:r w:rsidR="00053D84" w:rsidRPr="00350989">
        <w:t xml:space="preserve"> key pri</w:t>
      </w:r>
      <w:r w:rsidR="00543574" w:rsidRPr="00350989">
        <w:t>ority of the Cyprus Government.</w:t>
      </w:r>
      <w:r w:rsidR="00A43D96" w:rsidRPr="00350989">
        <w:t xml:space="preserve"> </w:t>
      </w:r>
      <w:r w:rsidRPr="00350989">
        <w:t xml:space="preserve">Nevertheless, disability relevant targets are directly and indirectly mentioned </w:t>
      </w:r>
      <w:r w:rsidR="003F0B48" w:rsidRPr="00350989">
        <w:t xml:space="preserve">in Social Welfare in relation to the new guaranteed minimum income (GMI). </w:t>
      </w:r>
      <w:r w:rsidR="00053D84" w:rsidRPr="00350989">
        <w:t>To this end,</w:t>
      </w:r>
      <w:r w:rsidR="003F0B48" w:rsidRPr="00350989">
        <w:t xml:space="preserve"> the Stability Programme 2016-2019 of the Ministry of Finance</w:t>
      </w:r>
      <w:r w:rsidR="003F0B48" w:rsidRPr="00350989">
        <w:rPr>
          <w:vertAlign w:val="superscript"/>
        </w:rPr>
        <w:t>6</w:t>
      </w:r>
      <w:r w:rsidR="003F0B48" w:rsidRPr="00350989">
        <w:t xml:space="preserve"> highlights that</w:t>
      </w:r>
    </w:p>
    <w:p w14:paraId="067A1B83" w14:textId="77777777" w:rsidR="0047787B" w:rsidRPr="00350989" w:rsidRDefault="0047787B" w:rsidP="000D7F61">
      <w:pPr>
        <w:spacing w:after="0"/>
      </w:pPr>
    </w:p>
    <w:p w14:paraId="157E148F" w14:textId="77777777" w:rsidR="003F0B48" w:rsidRPr="00350989" w:rsidRDefault="003F0B48" w:rsidP="000D7F61">
      <w:pPr>
        <w:spacing w:after="0"/>
        <w:ind w:left="567"/>
      </w:pPr>
      <w:r w:rsidRPr="00350989">
        <w:t xml:space="preserve">“The social welfare reform was explicitly aimed at providing better protection of vulnerable groups with the introduction of a guaranteed minimum income (GMI) scheme and better targeting of benefits to ensure public support for those most </w:t>
      </w:r>
      <w:r w:rsidRPr="00350989">
        <w:lastRenderedPageBreak/>
        <w:t>in need, including the working poor while at the same time respecting the budgetary targets set.” (p. 8)</w:t>
      </w:r>
    </w:p>
    <w:p w14:paraId="20E76C9F" w14:textId="77777777" w:rsidR="003F0B48" w:rsidRPr="00350989" w:rsidRDefault="003F0B48" w:rsidP="000D7F61">
      <w:pPr>
        <w:spacing w:after="0"/>
      </w:pPr>
    </w:p>
    <w:p w14:paraId="693ECBDA" w14:textId="77777777" w:rsidR="005E1C80" w:rsidRPr="00350989" w:rsidRDefault="003F0B48" w:rsidP="000D7F61">
      <w:pPr>
        <w:spacing w:after="0"/>
      </w:pPr>
      <w:r w:rsidRPr="00350989">
        <w:t xml:space="preserve">In addition </w:t>
      </w:r>
      <w:r w:rsidR="00053D84" w:rsidRPr="00350989">
        <w:t xml:space="preserve">a number of measures and targets are outlined, which however are not particularly specific in the documents. </w:t>
      </w:r>
      <w:r w:rsidR="00500B00" w:rsidRPr="00350989">
        <w:t>In</w:t>
      </w:r>
      <w:r w:rsidR="00053D84" w:rsidRPr="00350989">
        <w:t xml:space="preserve"> the </w:t>
      </w:r>
      <w:r w:rsidR="00053D84" w:rsidRPr="00350989">
        <w:rPr>
          <w:i/>
          <w:iCs/>
        </w:rPr>
        <w:t>Occasional Paper for The Economic Adjustment Programme for Cyprus Fourth Review – Summer 2014</w:t>
      </w:r>
      <w:r w:rsidR="00053D84" w:rsidRPr="00350989">
        <w:t>, the following objectives are set</w:t>
      </w:r>
      <w:r w:rsidR="00500B00" w:rsidRPr="00350989">
        <w:t xml:space="preserve"> out</w:t>
      </w:r>
      <w:r w:rsidR="00053D84" w:rsidRPr="00350989">
        <w:t xml:space="preserve"> (it should be noted that the report does not</w:t>
      </w:r>
      <w:r w:rsidR="00D4321A" w:rsidRPr="00350989">
        <w:t xml:space="preserve"> explicitly </w:t>
      </w:r>
      <w:r w:rsidR="00053D84" w:rsidRPr="00350989">
        <w:t>refer to targets and measures for</w:t>
      </w:r>
      <w:r w:rsidR="00D4321A" w:rsidRPr="00350989">
        <w:t xml:space="preserve"> individuals with disabilities. </w:t>
      </w:r>
      <w:r w:rsidR="00BE0D6D" w:rsidRPr="00350989">
        <w:t>Rather, there is reference to</w:t>
      </w:r>
      <w:r w:rsidR="00053D84" w:rsidRPr="00350989">
        <w:t xml:space="preserve"> vulnerable groups,</w:t>
      </w:r>
      <w:r w:rsidR="00500B00" w:rsidRPr="00350989">
        <w:t xml:space="preserve"> which</w:t>
      </w:r>
      <w:r w:rsidR="00053D84" w:rsidRPr="00350989">
        <w:t xml:space="preserve"> includ</w:t>
      </w:r>
      <w:r w:rsidR="00500B00" w:rsidRPr="00350989">
        <w:t>e</w:t>
      </w:r>
      <w:r w:rsidR="00053D84" w:rsidRPr="00350989">
        <w:t xml:space="preserve"> people with disabilities</w:t>
      </w:r>
      <w:r w:rsidR="00D4321A" w:rsidRPr="00350989">
        <w:t>. As stated in the document:</w:t>
      </w:r>
    </w:p>
    <w:p w14:paraId="291F5DF6" w14:textId="77777777" w:rsidR="00FF1585" w:rsidRPr="00350989" w:rsidRDefault="00FF1585" w:rsidP="000D7F61">
      <w:pPr>
        <w:spacing w:after="0"/>
      </w:pPr>
    </w:p>
    <w:p w14:paraId="33647232" w14:textId="77777777" w:rsidR="00045EA8" w:rsidRPr="00350989" w:rsidRDefault="00500B00" w:rsidP="000D7F61">
      <w:pPr>
        <w:spacing w:after="0"/>
        <w:ind w:left="567"/>
      </w:pPr>
      <w:r w:rsidRPr="00350989">
        <w:t>“</w:t>
      </w:r>
      <w:r w:rsidR="00053D84" w:rsidRPr="00350989">
        <w:t>One of the objectives of the programme enshrined in the MoU is to minimise the impact of consolidation on vulnerable groups. To this end, reforms in the areas of pensions and social welfare have been undertaken, and the reform of health care system is under way. The social welfare reform was explicitly aimed at providing better protection of vulnerable groups with the introduction of a guaranteed minimum income (GMI) scheme and better targeting of benefits to ensure public support for those most in need, including the working poor</w:t>
      </w:r>
      <w:r w:rsidRPr="00350989">
        <w:t>.”</w:t>
      </w:r>
    </w:p>
    <w:p w14:paraId="2F7DBB1C" w14:textId="77777777" w:rsidR="00B87D1F" w:rsidRPr="00350989" w:rsidRDefault="00B87D1F" w:rsidP="000D7F61">
      <w:pPr>
        <w:spacing w:after="0"/>
      </w:pPr>
    </w:p>
    <w:p w14:paraId="057FFDF0" w14:textId="77777777" w:rsidR="005C75D8" w:rsidRPr="00350989" w:rsidRDefault="005C75D8" w:rsidP="00D126EE">
      <w:pPr>
        <w:pStyle w:val="Heading3"/>
        <w:rPr>
          <w:lang w:val="en-GB"/>
        </w:rPr>
      </w:pPr>
      <w:bookmarkStart w:id="7" w:name="_Toc440298947"/>
      <w:bookmarkStart w:id="8" w:name="_Toc483409954"/>
      <w:r w:rsidRPr="00350989">
        <w:rPr>
          <w:lang w:val="en-GB"/>
        </w:rPr>
        <w:t xml:space="preserve">A note on </w:t>
      </w:r>
      <w:r w:rsidR="00092B8F" w:rsidRPr="00350989">
        <w:rPr>
          <w:lang w:val="en-GB"/>
        </w:rPr>
        <w:t xml:space="preserve">the use of </w:t>
      </w:r>
      <w:r w:rsidR="002E420B" w:rsidRPr="00350989">
        <w:rPr>
          <w:lang w:val="en-GB"/>
        </w:rPr>
        <w:t>EU</w:t>
      </w:r>
      <w:r w:rsidR="00092B8F" w:rsidRPr="00350989">
        <w:rPr>
          <w:lang w:val="en-GB"/>
        </w:rPr>
        <w:t xml:space="preserve"> </w:t>
      </w:r>
      <w:r w:rsidRPr="00350989">
        <w:rPr>
          <w:lang w:val="en-GB"/>
        </w:rPr>
        <w:t>data</w:t>
      </w:r>
      <w:bookmarkEnd w:id="7"/>
      <w:bookmarkEnd w:id="8"/>
    </w:p>
    <w:p w14:paraId="1A3D8EB8" w14:textId="77777777" w:rsidR="00B87D1F" w:rsidRPr="00350989" w:rsidRDefault="00B87D1F" w:rsidP="000D7F61">
      <w:pPr>
        <w:pStyle w:val="BodyText"/>
        <w:spacing w:after="0"/>
      </w:pPr>
    </w:p>
    <w:p w14:paraId="43F3A07F" w14:textId="2BFE9D25" w:rsidR="00855CD2" w:rsidRPr="00350989" w:rsidRDefault="00855CD2" w:rsidP="000D7F61">
      <w:pPr>
        <w:spacing w:after="0"/>
      </w:pPr>
      <w:bookmarkStart w:id="9" w:name="_Toc440298948"/>
      <w:r w:rsidRPr="00350989">
        <w:t>Unless specified, the summary statistics presented in this report are drawn from 2014 EU-SILC micro data.</w:t>
      </w:r>
      <w:r w:rsidRPr="00350989">
        <w:rPr>
          <w:vertAlign w:val="superscript"/>
        </w:rPr>
        <w:footnoteReference w:id="11"/>
      </w:r>
      <w:r w:rsidRPr="00350989">
        <w:t xml:space="preserve"> The EU-SILC sample includes people living in private households and does not include people living in institutions. The proxy used to identify people with disabilities (impairments) is whether ‘for at least the past 6 months’ the respondent reports that they have been ‘limited because of a health problem in activities people usually do’.</w:t>
      </w:r>
      <w:r w:rsidRPr="00350989">
        <w:rPr>
          <w:vertAlign w:val="superscript"/>
        </w:rPr>
        <w:footnoteReference w:id="12"/>
      </w:r>
      <w:r w:rsidRPr="00350989">
        <w:t xml:space="preserve"> Responses to this question vary between countries and national data sources are added f</w:t>
      </w:r>
      <w:r w:rsidR="000D7F61" w:rsidRPr="00350989">
        <w:t>or comparison, where available.</w:t>
      </w:r>
    </w:p>
    <w:p w14:paraId="56F6B1B0" w14:textId="77777777" w:rsidR="000D7F61" w:rsidRPr="00350989" w:rsidRDefault="000D7F61" w:rsidP="000D7F61">
      <w:pPr>
        <w:spacing w:after="0"/>
        <w:rPr>
          <w:b/>
          <w:bCs/>
        </w:rPr>
      </w:pPr>
      <w:r w:rsidRPr="00350989">
        <w:rPr>
          <w:b/>
          <w:bCs/>
        </w:rPr>
        <w:br w:type="page"/>
      </w:r>
    </w:p>
    <w:p w14:paraId="7460F89B" w14:textId="0736A8CF" w:rsidR="00855CD2" w:rsidRPr="00350989" w:rsidRDefault="00855CD2" w:rsidP="000D7F61">
      <w:pPr>
        <w:spacing w:after="0"/>
        <w:rPr>
          <w:b/>
          <w:bCs/>
        </w:rPr>
      </w:pPr>
      <w:r w:rsidRPr="00350989">
        <w:rPr>
          <w:b/>
          <w:bCs/>
        </w:rPr>
        <w:lastRenderedPageBreak/>
        <w:t xml:space="preserve">Table </w:t>
      </w:r>
      <w:r w:rsidRPr="00350989">
        <w:rPr>
          <w:b/>
          <w:bCs/>
        </w:rPr>
        <w:fldChar w:fldCharType="begin"/>
      </w:r>
      <w:r w:rsidRPr="00350989">
        <w:rPr>
          <w:b/>
          <w:bCs/>
        </w:rPr>
        <w:instrText xml:space="preserve"> SEQ Table \* ARABIC </w:instrText>
      </w:r>
      <w:r w:rsidRPr="00350989">
        <w:rPr>
          <w:b/>
          <w:bCs/>
        </w:rPr>
        <w:fldChar w:fldCharType="separate"/>
      </w:r>
      <w:r w:rsidRPr="00350989">
        <w:rPr>
          <w:b/>
          <w:bCs/>
          <w:noProof/>
        </w:rPr>
        <w:t>2</w:t>
      </w:r>
      <w:r w:rsidRPr="00350989">
        <w:rPr>
          <w:b/>
          <w:bCs/>
          <w:noProof/>
        </w:rPr>
        <w:fldChar w:fldCharType="end"/>
      </w:r>
      <w:r w:rsidRPr="00350989">
        <w:rPr>
          <w:b/>
          <w:bCs/>
        </w:rPr>
        <w:t>: Self-reported ‘activity limitations’ as a proxy for impairment/disability (EU-SILC 2014)</w:t>
      </w:r>
    </w:p>
    <w:p w14:paraId="472E55A8" w14:textId="77777777" w:rsidR="00855CD2" w:rsidRPr="00350989" w:rsidRDefault="00855CD2" w:rsidP="000D7F61">
      <w:pPr>
        <w:spacing w:after="0"/>
      </w:pPr>
      <w:r w:rsidRPr="00350989">
        <w:rPr>
          <w:noProof/>
          <w:lang w:val="nl-NL" w:eastAsia="nl-NL"/>
        </w:rPr>
        <w:drawing>
          <wp:inline distT="0" distB="0" distL="0" distR="0" wp14:anchorId="7292DCF3" wp14:editId="6ADE9C11">
            <wp:extent cx="5583044" cy="4222595"/>
            <wp:effectExtent l="0" t="0" r="0" b="698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798F7E7" w14:textId="122AD1DA" w:rsidR="00855CD2" w:rsidRPr="00350989" w:rsidRDefault="00855CD2" w:rsidP="000D7F61">
      <w:pPr>
        <w:spacing w:after="0"/>
        <w:rPr>
          <w:i/>
          <w:sz w:val="20"/>
          <w:lang w:eastAsia="en-GB"/>
        </w:rPr>
      </w:pPr>
      <w:r w:rsidRPr="00350989">
        <w:rPr>
          <w:i/>
          <w:sz w:val="20"/>
        </w:rPr>
        <w:t xml:space="preserve">Source: </w:t>
      </w:r>
      <w:r w:rsidRPr="00350989">
        <w:rPr>
          <w:i/>
          <w:sz w:val="20"/>
          <w:lang w:eastAsia="en-GB"/>
        </w:rPr>
        <w:t>EUSILC UDB 2014 – version 2 of August 2016</w:t>
      </w:r>
    </w:p>
    <w:p w14:paraId="226B4C03" w14:textId="44A7DF52" w:rsidR="00855CD2" w:rsidRPr="00350989" w:rsidRDefault="00855CD2" w:rsidP="000D7F61">
      <w:pPr>
        <w:spacing w:after="0"/>
        <w:rPr>
          <w:i/>
          <w:sz w:val="20"/>
          <w:lang w:eastAsia="en-GB"/>
        </w:rPr>
      </w:pPr>
      <w:r w:rsidRPr="00350989">
        <w:rPr>
          <w:i/>
          <w:sz w:val="20"/>
          <w:lang w:eastAsia="en-GB"/>
        </w:rPr>
        <w:t>It is relevant to observe that Cypriot estimates of impairment prevalence fall slightly below the EU average, which may affect estimations of equality gaps.</w:t>
      </w:r>
    </w:p>
    <w:p w14:paraId="38DBCEC7" w14:textId="77777777" w:rsidR="000D7F61" w:rsidRPr="00350989" w:rsidRDefault="000D7F61" w:rsidP="000D7F61">
      <w:pPr>
        <w:spacing w:after="0"/>
      </w:pPr>
    </w:p>
    <w:p w14:paraId="360E72FB" w14:textId="77777777" w:rsidR="004F312C" w:rsidRPr="00350989" w:rsidRDefault="00855CD2" w:rsidP="004F312C">
      <w:pPr>
        <w:spacing w:after="0"/>
      </w:pPr>
      <w:r w:rsidRPr="00350989">
        <w:t>In subsequent tables, these data are used as a proxy to estimate ‘disability’ equality in the main target areas for EU2020 – employment, education and poverty risk.</w:t>
      </w:r>
      <w:r w:rsidRPr="00350989">
        <w:rPr>
          <w:vertAlign w:val="superscript"/>
        </w:rPr>
        <w:footnoteReference w:id="13"/>
      </w:r>
      <w:r w:rsidRPr="00350989">
        <w:t xml:space="preserve"> The tables are presented by disaggregating the estimated proportion of people who report and do not report limitations for each indicator (e.g. among those who are employed, unemployed, at risk of poverty, etc.).</w:t>
      </w:r>
    </w:p>
    <w:p w14:paraId="0427D91F" w14:textId="77777777" w:rsidR="004F312C" w:rsidRPr="00350989" w:rsidRDefault="004F312C" w:rsidP="004F312C">
      <w:pPr>
        <w:spacing w:after="0"/>
      </w:pPr>
    </w:p>
    <w:p w14:paraId="53E80659" w14:textId="2F6300F1" w:rsidR="00BC5855" w:rsidRPr="00350989" w:rsidRDefault="00B87D1F" w:rsidP="004F312C">
      <w:pPr>
        <w:pStyle w:val="Heading2"/>
      </w:pPr>
      <w:r w:rsidRPr="00350989">
        <w:br w:type="page"/>
      </w:r>
      <w:bookmarkStart w:id="10" w:name="_Toc483409955"/>
      <w:r w:rsidR="000D320A" w:rsidRPr="00350989">
        <w:lastRenderedPageBreak/>
        <w:t xml:space="preserve">Employment </w:t>
      </w:r>
      <w:r w:rsidR="00D72CA8" w:rsidRPr="00350989">
        <w:t>data</w:t>
      </w:r>
      <w:bookmarkEnd w:id="9"/>
      <w:bookmarkEnd w:id="10"/>
    </w:p>
    <w:p w14:paraId="07485DBA" w14:textId="77777777" w:rsidR="00B87D1F" w:rsidRPr="00350989" w:rsidRDefault="00B87D1F" w:rsidP="000D7F61">
      <w:pPr>
        <w:pStyle w:val="BodyText"/>
        <w:spacing w:after="0"/>
        <w:rPr>
          <w:b/>
          <w:bCs/>
        </w:rPr>
      </w:pPr>
    </w:p>
    <w:p w14:paraId="7E40506E" w14:textId="77777777" w:rsidR="00855CD2" w:rsidRPr="00350989" w:rsidRDefault="00855CD2" w:rsidP="000D7F61">
      <w:pPr>
        <w:keepNext/>
        <w:spacing w:after="0"/>
        <w:rPr>
          <w:b/>
          <w:bCs/>
        </w:rPr>
      </w:pPr>
      <w:r w:rsidRPr="00350989">
        <w:rPr>
          <w:b/>
          <w:bCs/>
        </w:rPr>
        <w:t xml:space="preserve">Table </w:t>
      </w:r>
      <w:r w:rsidRPr="00350989">
        <w:rPr>
          <w:b/>
          <w:bCs/>
        </w:rPr>
        <w:fldChar w:fldCharType="begin"/>
      </w:r>
      <w:r w:rsidRPr="00350989">
        <w:rPr>
          <w:b/>
          <w:bCs/>
        </w:rPr>
        <w:instrText xml:space="preserve"> SEQ Table \* ARABIC </w:instrText>
      </w:r>
      <w:r w:rsidRPr="00350989">
        <w:rPr>
          <w:b/>
          <w:bCs/>
        </w:rPr>
        <w:fldChar w:fldCharType="separate"/>
      </w:r>
      <w:r w:rsidRPr="00350989">
        <w:rPr>
          <w:b/>
          <w:bCs/>
          <w:noProof/>
        </w:rPr>
        <w:t>3</w:t>
      </w:r>
      <w:r w:rsidRPr="00350989">
        <w:rPr>
          <w:b/>
          <w:bCs/>
          <w:noProof/>
        </w:rPr>
        <w:fldChar w:fldCharType="end"/>
      </w:r>
      <w:r w:rsidRPr="00350989">
        <w:rPr>
          <w:b/>
          <w:bCs/>
          <w:noProof/>
        </w:rPr>
        <w:t>: Most recent employment data, aged 20-64</w:t>
      </w:r>
    </w:p>
    <w:p w14:paraId="045A7E15" w14:textId="77777777" w:rsidR="00855CD2" w:rsidRPr="00350989" w:rsidRDefault="00855CD2" w:rsidP="000D7F61">
      <w:pPr>
        <w:spacing w:after="0"/>
      </w:pPr>
      <w:r w:rsidRPr="00350989">
        <w:rPr>
          <w:noProof/>
          <w:lang w:val="nl-NL" w:eastAsia="nl-NL"/>
        </w:rPr>
        <w:drawing>
          <wp:inline distT="0" distB="0" distL="0" distR="0" wp14:anchorId="3ADD682F" wp14:editId="5AF29C0E">
            <wp:extent cx="5581934" cy="2361062"/>
            <wp:effectExtent l="0" t="0" r="0" b="127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EA39152" w14:textId="77777777" w:rsidR="00855CD2" w:rsidRPr="00350989" w:rsidRDefault="00855CD2" w:rsidP="000D7F61">
      <w:pPr>
        <w:spacing w:after="0"/>
        <w:rPr>
          <w:i/>
          <w:sz w:val="20"/>
          <w:lang w:eastAsia="en-GB"/>
        </w:rPr>
      </w:pPr>
      <w:r w:rsidRPr="00350989">
        <w:rPr>
          <w:i/>
          <w:sz w:val="20"/>
        </w:rPr>
        <w:t xml:space="preserve">Source: </w:t>
      </w:r>
      <w:r w:rsidRPr="00350989">
        <w:rPr>
          <w:i/>
          <w:sz w:val="20"/>
          <w:lang w:eastAsia="en-GB"/>
        </w:rPr>
        <w:t>EUSILC UDB 2014 – version 2 of August 2016</w:t>
      </w:r>
    </w:p>
    <w:p w14:paraId="1C7C2F24" w14:textId="77777777" w:rsidR="000D7F61" w:rsidRPr="00350989" w:rsidRDefault="000D7F61" w:rsidP="000D7F61">
      <w:pPr>
        <w:spacing w:after="0"/>
        <w:rPr>
          <w:b/>
          <w:bCs/>
        </w:rPr>
      </w:pPr>
    </w:p>
    <w:p w14:paraId="040AB848" w14:textId="5CAE0ED7" w:rsidR="00855CD2" w:rsidRPr="00350989" w:rsidRDefault="00855CD2" w:rsidP="000D7F61">
      <w:pPr>
        <w:spacing w:after="0"/>
        <w:rPr>
          <w:b/>
          <w:bCs/>
        </w:rPr>
      </w:pPr>
      <w:r w:rsidRPr="00350989">
        <w:rPr>
          <w:b/>
          <w:bCs/>
        </w:rPr>
        <w:t xml:space="preserve">Table </w:t>
      </w:r>
      <w:r w:rsidRPr="00350989">
        <w:rPr>
          <w:b/>
          <w:bCs/>
        </w:rPr>
        <w:fldChar w:fldCharType="begin"/>
      </w:r>
      <w:r w:rsidRPr="00350989">
        <w:rPr>
          <w:b/>
          <w:bCs/>
        </w:rPr>
        <w:instrText xml:space="preserve"> SEQ Table \* ARABIC </w:instrText>
      </w:r>
      <w:r w:rsidRPr="00350989">
        <w:rPr>
          <w:b/>
          <w:bCs/>
        </w:rPr>
        <w:fldChar w:fldCharType="separate"/>
      </w:r>
      <w:r w:rsidRPr="00350989">
        <w:rPr>
          <w:b/>
          <w:bCs/>
          <w:noProof/>
        </w:rPr>
        <w:t>4</w:t>
      </w:r>
      <w:r w:rsidRPr="00350989">
        <w:rPr>
          <w:b/>
          <w:bCs/>
          <w:noProof/>
        </w:rPr>
        <w:fldChar w:fldCharType="end"/>
      </w:r>
      <w:r w:rsidRPr="00350989">
        <w:rPr>
          <w:b/>
          <w:bCs/>
        </w:rPr>
        <w:t>: Employment rate data, by age group</w:t>
      </w:r>
    </w:p>
    <w:p w14:paraId="2A4C4C31" w14:textId="77777777" w:rsidR="00855CD2" w:rsidRPr="00350989" w:rsidRDefault="00855CD2" w:rsidP="000D7F61">
      <w:pPr>
        <w:spacing w:after="0"/>
      </w:pPr>
      <w:r w:rsidRPr="00350989">
        <w:rPr>
          <w:noProof/>
          <w:lang w:val="nl-NL" w:eastAsia="nl-NL"/>
        </w:rPr>
        <w:drawing>
          <wp:inline distT="0" distB="0" distL="0" distR="0" wp14:anchorId="28599BC8" wp14:editId="10BA0134">
            <wp:extent cx="5581934" cy="2565780"/>
            <wp:effectExtent l="0" t="0" r="0" b="635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C13C9D1" w14:textId="77777777" w:rsidR="00855CD2" w:rsidRPr="00350989" w:rsidRDefault="00855CD2" w:rsidP="000D7F61">
      <w:pPr>
        <w:spacing w:after="0"/>
        <w:rPr>
          <w:i/>
          <w:sz w:val="20"/>
          <w:lang w:eastAsia="en-GB"/>
        </w:rPr>
      </w:pPr>
      <w:r w:rsidRPr="00350989">
        <w:rPr>
          <w:i/>
          <w:sz w:val="20"/>
        </w:rPr>
        <w:t xml:space="preserve">Source: </w:t>
      </w:r>
      <w:r w:rsidRPr="00350989">
        <w:rPr>
          <w:i/>
          <w:sz w:val="20"/>
          <w:lang w:eastAsia="en-GB"/>
        </w:rPr>
        <w:t>EUSILC UDB 2014 – version 2 of August 2016</w:t>
      </w:r>
    </w:p>
    <w:p w14:paraId="2E3244D9" w14:textId="77777777" w:rsidR="00855CD2" w:rsidRPr="00350989" w:rsidRDefault="00855CD2" w:rsidP="000D7F61">
      <w:pPr>
        <w:keepNext/>
        <w:spacing w:after="0"/>
        <w:rPr>
          <w:b/>
          <w:bCs/>
        </w:rPr>
      </w:pPr>
      <w:r w:rsidRPr="00350989">
        <w:rPr>
          <w:b/>
          <w:bCs/>
        </w:rPr>
        <w:lastRenderedPageBreak/>
        <w:t xml:space="preserve">Table </w:t>
      </w:r>
      <w:r w:rsidRPr="00350989">
        <w:rPr>
          <w:b/>
          <w:bCs/>
        </w:rPr>
        <w:fldChar w:fldCharType="begin"/>
      </w:r>
      <w:r w:rsidRPr="00350989">
        <w:rPr>
          <w:b/>
          <w:bCs/>
        </w:rPr>
        <w:instrText xml:space="preserve"> SEQ Table \* ARABIC </w:instrText>
      </w:r>
      <w:r w:rsidRPr="00350989">
        <w:rPr>
          <w:b/>
          <w:bCs/>
        </w:rPr>
        <w:fldChar w:fldCharType="separate"/>
      </w:r>
      <w:r w:rsidRPr="00350989">
        <w:rPr>
          <w:b/>
          <w:bCs/>
          <w:noProof/>
        </w:rPr>
        <w:t>5</w:t>
      </w:r>
      <w:r w:rsidRPr="00350989">
        <w:rPr>
          <w:b/>
          <w:bCs/>
          <w:noProof/>
        </w:rPr>
        <w:fldChar w:fldCharType="end"/>
      </w:r>
      <w:r w:rsidRPr="00350989">
        <w:rPr>
          <w:b/>
          <w:bCs/>
        </w:rPr>
        <w:t>: Trends in employment by gender and disability (aged 20-64)</w:t>
      </w:r>
    </w:p>
    <w:p w14:paraId="5987FE37" w14:textId="77777777" w:rsidR="00855CD2" w:rsidRPr="00350989" w:rsidRDefault="00855CD2" w:rsidP="000D7F61">
      <w:pPr>
        <w:spacing w:after="0"/>
      </w:pPr>
      <w:r w:rsidRPr="00350989">
        <w:rPr>
          <w:noProof/>
          <w:lang w:val="nl-NL" w:eastAsia="nl-NL"/>
        </w:rPr>
        <w:drawing>
          <wp:inline distT="0" distB="0" distL="0" distR="0" wp14:anchorId="4ACCEE8C" wp14:editId="32E855B7">
            <wp:extent cx="5486400" cy="4638675"/>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1306576" w14:textId="77777777" w:rsidR="00855CD2" w:rsidRPr="00350989" w:rsidRDefault="00855CD2" w:rsidP="000D7F61">
      <w:pPr>
        <w:spacing w:after="0"/>
        <w:rPr>
          <w:i/>
          <w:sz w:val="20"/>
          <w:lang w:eastAsia="en-GB"/>
        </w:rPr>
      </w:pPr>
      <w:r w:rsidRPr="00350989">
        <w:rPr>
          <w:i/>
          <w:sz w:val="20"/>
        </w:rPr>
        <w:t xml:space="preserve">Source: </w:t>
      </w:r>
      <w:r w:rsidRPr="00350989">
        <w:rPr>
          <w:i/>
          <w:sz w:val="20"/>
          <w:lang w:eastAsia="en-GB"/>
        </w:rPr>
        <w:t>EUSILC UDB 2014 – version 2 of August 2016 (and preceding UDBs)</w:t>
      </w:r>
    </w:p>
    <w:p w14:paraId="48B145C5" w14:textId="77777777" w:rsidR="00855CD2" w:rsidRPr="00350989" w:rsidRDefault="00855CD2" w:rsidP="000D7F61">
      <w:pPr>
        <w:spacing w:after="0"/>
        <w:rPr>
          <w:i/>
          <w:sz w:val="20"/>
          <w:lang w:eastAsia="en-GB"/>
        </w:rPr>
      </w:pPr>
      <w:r w:rsidRPr="00350989">
        <w:rPr>
          <w:i/>
          <w:sz w:val="20"/>
          <w:lang w:eastAsia="en-GB"/>
        </w:rPr>
        <w:t>* There is some missing data in the trend for Cyprus</w:t>
      </w:r>
    </w:p>
    <w:p w14:paraId="4E3B0D95" w14:textId="77777777" w:rsidR="000D7F61" w:rsidRPr="00350989" w:rsidRDefault="000D7F61" w:rsidP="000D7F61">
      <w:pPr>
        <w:spacing w:after="0"/>
      </w:pPr>
    </w:p>
    <w:p w14:paraId="53CE719A" w14:textId="2F864CBF" w:rsidR="00855CD2" w:rsidRPr="00350989" w:rsidRDefault="00855CD2" w:rsidP="000D7F61">
      <w:pPr>
        <w:spacing w:after="0"/>
      </w:pPr>
      <w:r w:rsidRPr="00350989">
        <w:t>The table above shows a comparison of national employment trends for disabled and non-disabled women and men, and compares this with the EU2020 headline indicator for the EU as a whole.</w:t>
      </w:r>
    </w:p>
    <w:p w14:paraId="55E634C8" w14:textId="3AE2327A" w:rsidR="00855CD2" w:rsidRPr="00350989" w:rsidRDefault="00855CD2" w:rsidP="000D7F61">
      <w:pPr>
        <w:pStyle w:val="BodyText"/>
        <w:spacing w:after="0"/>
      </w:pPr>
    </w:p>
    <w:p w14:paraId="7B83B0DF" w14:textId="77777777" w:rsidR="0066278F" w:rsidRPr="00350989" w:rsidRDefault="0066278F" w:rsidP="000D7F61">
      <w:pPr>
        <w:spacing w:after="0"/>
        <w:rPr>
          <w:b/>
          <w:bCs/>
        </w:rPr>
      </w:pPr>
      <w:r w:rsidRPr="00350989">
        <w:rPr>
          <w:b/>
          <w:bCs/>
        </w:rPr>
        <w:t xml:space="preserve">Alternative data on disability and employment </w:t>
      </w:r>
      <w:r w:rsidR="00803568" w:rsidRPr="00350989">
        <w:rPr>
          <w:b/>
          <w:bCs/>
        </w:rPr>
        <w:t>provided by the national expert</w:t>
      </w:r>
      <w:r w:rsidRPr="00350989">
        <w:rPr>
          <w:b/>
          <w:bCs/>
        </w:rPr>
        <w:t>:</w:t>
      </w:r>
    </w:p>
    <w:p w14:paraId="06256183" w14:textId="77777777" w:rsidR="00B87D1F" w:rsidRPr="00350989" w:rsidRDefault="00B87D1F" w:rsidP="000D7F61">
      <w:pPr>
        <w:spacing w:after="0"/>
      </w:pPr>
    </w:p>
    <w:p w14:paraId="631A93DD" w14:textId="77777777" w:rsidR="00846480" w:rsidRPr="00350989" w:rsidRDefault="009A596D" w:rsidP="000D7F61">
      <w:pPr>
        <w:spacing w:after="0"/>
      </w:pPr>
      <w:r w:rsidRPr="00350989">
        <w:t>The following data concerns the number of beneficiaries enrolled in the various employment support programmes described in Section 4.</w:t>
      </w:r>
    </w:p>
    <w:p w14:paraId="0DA764BF" w14:textId="77777777" w:rsidR="00B87D1F" w:rsidRPr="00350989" w:rsidRDefault="00B87D1F" w:rsidP="000D7F61">
      <w:pPr>
        <w:spacing w:after="0"/>
      </w:pPr>
    </w:p>
    <w:p w14:paraId="69D0B698" w14:textId="628F0996" w:rsidR="00212BCB" w:rsidRPr="00350989" w:rsidRDefault="00212BCB" w:rsidP="000D7F61">
      <w:pPr>
        <w:spacing w:after="0"/>
      </w:pPr>
      <w:r w:rsidRPr="00350989">
        <w:t>There is currently no alternative data available on general employment rates for people with disabilities in Cyprus that allow comparisons with data provided in Table 5, but data in Table 5.1 below provide an insight of the opportunities provided based on the number of beneficiaries of employment schemes.</w:t>
      </w:r>
    </w:p>
    <w:p w14:paraId="06F9E2CD" w14:textId="77777777" w:rsidR="00212BCB" w:rsidRPr="00350989" w:rsidRDefault="00212BCB" w:rsidP="000D7F61">
      <w:pPr>
        <w:spacing w:after="0"/>
      </w:pPr>
    </w:p>
    <w:p w14:paraId="41E4DCB4" w14:textId="77777777" w:rsidR="004F312C" w:rsidRPr="00350989" w:rsidRDefault="004F312C">
      <w:pPr>
        <w:spacing w:after="0"/>
        <w:rPr>
          <w:b/>
        </w:rPr>
      </w:pPr>
      <w:r w:rsidRPr="00350989">
        <w:rPr>
          <w:b/>
        </w:rPr>
        <w:br w:type="page"/>
      </w:r>
    </w:p>
    <w:p w14:paraId="3B7E966F" w14:textId="79DA2C5D" w:rsidR="00C00FC3" w:rsidRPr="00350989" w:rsidRDefault="00C00FC3" w:rsidP="000D7F61">
      <w:pPr>
        <w:pStyle w:val="ListParagraph"/>
        <w:spacing w:after="0"/>
        <w:ind w:left="0"/>
        <w:rPr>
          <w:b/>
        </w:rPr>
      </w:pPr>
      <w:r w:rsidRPr="00350989">
        <w:rPr>
          <w:b/>
        </w:rPr>
        <w:lastRenderedPageBreak/>
        <w:t>Table</w:t>
      </w:r>
      <w:r w:rsidR="00462CA0" w:rsidRPr="00350989">
        <w:rPr>
          <w:b/>
        </w:rPr>
        <w:t xml:space="preserve"> 5.1</w:t>
      </w:r>
      <w:r w:rsidR="009A596D" w:rsidRPr="00350989">
        <w:rPr>
          <w:b/>
        </w:rPr>
        <w:t xml:space="preserve">: </w:t>
      </w:r>
      <w:r w:rsidRPr="00350989">
        <w:rPr>
          <w:b/>
        </w:rPr>
        <w:t>Total numbers of employment</w:t>
      </w:r>
      <w:r w:rsidR="00AF3C42" w:rsidRPr="00350989">
        <w:rPr>
          <w:b/>
        </w:rPr>
        <w:t xml:space="preserve"> of people with disabilities</w:t>
      </w:r>
      <w:r w:rsidRPr="00350989">
        <w:rPr>
          <w:b/>
        </w:rPr>
        <w:t xml:space="preserve"> under the </w:t>
      </w:r>
      <w:r w:rsidR="00462CA0" w:rsidRPr="00350989">
        <w:rPr>
          <w:b/>
        </w:rPr>
        <w:t xml:space="preserve">employment </w:t>
      </w:r>
      <w:r w:rsidRPr="00350989">
        <w:rPr>
          <w:b/>
        </w:rPr>
        <w:t xml:space="preserve">schemes in </w:t>
      </w:r>
      <w:r w:rsidR="002F06F0" w:rsidRPr="00350989">
        <w:rPr>
          <w:b/>
        </w:rPr>
        <w:t xml:space="preserve">2012 and </w:t>
      </w:r>
      <w:r w:rsidRPr="00350989">
        <w:rPr>
          <w:b/>
        </w:rPr>
        <w:t>201</w:t>
      </w:r>
      <w:r w:rsidR="00AF3C42" w:rsidRPr="00350989">
        <w:rPr>
          <w:b/>
        </w:rPr>
        <w:t>4</w:t>
      </w:r>
      <w:r w:rsidR="0044313B" w:rsidRPr="00350989">
        <w:rPr>
          <w:b/>
        </w:rPr>
        <w:t xml:space="preserve"> </w:t>
      </w:r>
      <w:r w:rsidR="00462CA0" w:rsidRPr="00350989">
        <w:rPr>
          <w:b/>
        </w:rPr>
        <w:t>(latest 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2"/>
        <w:gridCol w:w="1209"/>
        <w:gridCol w:w="1209"/>
        <w:gridCol w:w="1209"/>
        <w:gridCol w:w="1209"/>
        <w:gridCol w:w="1209"/>
        <w:gridCol w:w="1209"/>
      </w:tblGrid>
      <w:tr w:rsidR="002F06F0" w:rsidRPr="00350989" w14:paraId="555A62D5" w14:textId="77777777" w:rsidTr="00403827">
        <w:tc>
          <w:tcPr>
            <w:tcW w:w="2032" w:type="dxa"/>
            <w:shd w:val="clear" w:color="auto" w:fill="auto"/>
          </w:tcPr>
          <w:p w14:paraId="025DF080" w14:textId="77777777" w:rsidR="002F06F0" w:rsidRPr="00350989" w:rsidRDefault="002F06F0" w:rsidP="000D7F61">
            <w:pPr>
              <w:pStyle w:val="ListParagraph"/>
              <w:spacing w:after="0"/>
              <w:ind w:left="0"/>
              <w:rPr>
                <w:b/>
                <w:sz w:val="20"/>
              </w:rPr>
            </w:pPr>
            <w:r w:rsidRPr="00350989">
              <w:rPr>
                <w:b/>
                <w:sz w:val="20"/>
              </w:rPr>
              <w:t>Employment Scheme</w:t>
            </w:r>
          </w:p>
        </w:tc>
        <w:tc>
          <w:tcPr>
            <w:tcW w:w="3627" w:type="dxa"/>
            <w:gridSpan w:val="3"/>
            <w:shd w:val="clear" w:color="auto" w:fill="auto"/>
          </w:tcPr>
          <w:p w14:paraId="68E01F9C" w14:textId="77777777" w:rsidR="002F06F0" w:rsidRPr="00350989" w:rsidRDefault="002F06F0" w:rsidP="000D7F61">
            <w:pPr>
              <w:pStyle w:val="ListParagraph"/>
              <w:spacing w:after="0"/>
              <w:ind w:left="0"/>
              <w:rPr>
                <w:b/>
                <w:sz w:val="20"/>
              </w:rPr>
            </w:pPr>
            <w:r w:rsidRPr="00350989">
              <w:rPr>
                <w:b/>
                <w:sz w:val="20"/>
              </w:rPr>
              <w:t xml:space="preserve">Number of beneficiaries </w:t>
            </w:r>
          </w:p>
          <w:p w14:paraId="79299DF4" w14:textId="77777777" w:rsidR="002F06F0" w:rsidRPr="00350989" w:rsidRDefault="002F06F0" w:rsidP="000D7F61">
            <w:pPr>
              <w:pStyle w:val="ListParagraph"/>
              <w:spacing w:after="0"/>
              <w:ind w:left="0"/>
              <w:rPr>
                <w:b/>
                <w:sz w:val="20"/>
              </w:rPr>
            </w:pPr>
          </w:p>
        </w:tc>
        <w:tc>
          <w:tcPr>
            <w:tcW w:w="3627" w:type="dxa"/>
            <w:gridSpan w:val="3"/>
          </w:tcPr>
          <w:p w14:paraId="4C9D9B44" w14:textId="77777777" w:rsidR="002F06F0" w:rsidRPr="00350989" w:rsidRDefault="002F06F0" w:rsidP="000D7F61">
            <w:pPr>
              <w:pStyle w:val="ListParagraph"/>
              <w:spacing w:after="0"/>
              <w:ind w:left="0"/>
              <w:rPr>
                <w:b/>
                <w:sz w:val="20"/>
              </w:rPr>
            </w:pPr>
            <w:r w:rsidRPr="00350989">
              <w:rPr>
                <w:b/>
                <w:sz w:val="20"/>
              </w:rPr>
              <w:t>Total amount of funding</w:t>
            </w:r>
          </w:p>
        </w:tc>
      </w:tr>
      <w:tr w:rsidR="002F06F0" w:rsidRPr="00350989" w14:paraId="02D7B4CA" w14:textId="77777777" w:rsidTr="001230F1">
        <w:tc>
          <w:tcPr>
            <w:tcW w:w="2032" w:type="dxa"/>
            <w:shd w:val="clear" w:color="auto" w:fill="auto"/>
          </w:tcPr>
          <w:p w14:paraId="078E6B23" w14:textId="77777777" w:rsidR="002F06F0" w:rsidRPr="00350989" w:rsidRDefault="002F06F0" w:rsidP="000D7F61">
            <w:pPr>
              <w:pStyle w:val="ListParagraph"/>
              <w:spacing w:after="0"/>
              <w:ind w:left="0"/>
              <w:rPr>
                <w:b/>
                <w:sz w:val="20"/>
              </w:rPr>
            </w:pPr>
          </w:p>
        </w:tc>
        <w:tc>
          <w:tcPr>
            <w:tcW w:w="1209" w:type="dxa"/>
            <w:shd w:val="clear" w:color="auto" w:fill="auto"/>
          </w:tcPr>
          <w:p w14:paraId="7DB0C473" w14:textId="77777777" w:rsidR="002F06F0" w:rsidRPr="00350989" w:rsidRDefault="002F06F0" w:rsidP="000D7F61">
            <w:pPr>
              <w:pStyle w:val="ListParagraph"/>
              <w:spacing w:after="0"/>
              <w:ind w:left="0"/>
              <w:rPr>
                <w:b/>
                <w:sz w:val="20"/>
              </w:rPr>
            </w:pPr>
            <w:r w:rsidRPr="00350989">
              <w:rPr>
                <w:b/>
                <w:sz w:val="20"/>
              </w:rPr>
              <w:t>2012</w:t>
            </w:r>
          </w:p>
        </w:tc>
        <w:tc>
          <w:tcPr>
            <w:tcW w:w="1209" w:type="dxa"/>
          </w:tcPr>
          <w:p w14:paraId="016D6C76" w14:textId="77777777" w:rsidR="002F06F0" w:rsidRPr="00350989" w:rsidRDefault="002F06F0" w:rsidP="000D7F61">
            <w:pPr>
              <w:pStyle w:val="ListParagraph"/>
              <w:spacing w:after="0"/>
              <w:ind w:left="0"/>
              <w:rPr>
                <w:b/>
                <w:sz w:val="20"/>
              </w:rPr>
            </w:pPr>
            <w:r w:rsidRPr="00350989">
              <w:rPr>
                <w:b/>
                <w:sz w:val="20"/>
              </w:rPr>
              <w:t>2013</w:t>
            </w:r>
          </w:p>
        </w:tc>
        <w:tc>
          <w:tcPr>
            <w:tcW w:w="1209" w:type="dxa"/>
            <w:shd w:val="clear" w:color="auto" w:fill="auto"/>
          </w:tcPr>
          <w:p w14:paraId="5DE6A7EF" w14:textId="77777777" w:rsidR="002F06F0" w:rsidRPr="00350989" w:rsidDel="002F06F0" w:rsidRDefault="002F06F0" w:rsidP="000D7F61">
            <w:pPr>
              <w:pStyle w:val="ListParagraph"/>
              <w:spacing w:after="0"/>
              <w:ind w:left="0"/>
              <w:rPr>
                <w:b/>
                <w:sz w:val="20"/>
              </w:rPr>
            </w:pPr>
            <w:r w:rsidRPr="00350989">
              <w:rPr>
                <w:b/>
                <w:sz w:val="20"/>
              </w:rPr>
              <w:t>2014</w:t>
            </w:r>
          </w:p>
        </w:tc>
        <w:tc>
          <w:tcPr>
            <w:tcW w:w="1209" w:type="dxa"/>
          </w:tcPr>
          <w:p w14:paraId="74C55716" w14:textId="77777777" w:rsidR="002F06F0" w:rsidRPr="00350989" w:rsidRDefault="002F06F0" w:rsidP="000D7F61">
            <w:pPr>
              <w:pStyle w:val="ListParagraph"/>
              <w:spacing w:after="0"/>
              <w:ind w:left="0"/>
              <w:rPr>
                <w:b/>
                <w:sz w:val="20"/>
              </w:rPr>
            </w:pPr>
            <w:r w:rsidRPr="00350989">
              <w:rPr>
                <w:b/>
                <w:sz w:val="20"/>
              </w:rPr>
              <w:t>2012</w:t>
            </w:r>
          </w:p>
        </w:tc>
        <w:tc>
          <w:tcPr>
            <w:tcW w:w="1209" w:type="dxa"/>
          </w:tcPr>
          <w:p w14:paraId="51AAD570" w14:textId="77777777" w:rsidR="002F06F0" w:rsidRPr="00350989" w:rsidRDefault="00301850" w:rsidP="000D7F61">
            <w:pPr>
              <w:pStyle w:val="ListParagraph"/>
              <w:spacing w:after="0"/>
              <w:ind w:left="0"/>
              <w:rPr>
                <w:b/>
                <w:sz w:val="20"/>
              </w:rPr>
            </w:pPr>
            <w:r w:rsidRPr="00350989">
              <w:rPr>
                <w:b/>
                <w:sz w:val="20"/>
              </w:rPr>
              <w:t>2013</w:t>
            </w:r>
          </w:p>
        </w:tc>
        <w:tc>
          <w:tcPr>
            <w:tcW w:w="1209" w:type="dxa"/>
          </w:tcPr>
          <w:p w14:paraId="21CAF9A3" w14:textId="77777777" w:rsidR="002F06F0" w:rsidRPr="00350989" w:rsidRDefault="002F06F0" w:rsidP="000D7F61">
            <w:pPr>
              <w:pStyle w:val="ListParagraph"/>
              <w:spacing w:after="0"/>
              <w:ind w:left="0"/>
              <w:rPr>
                <w:b/>
                <w:sz w:val="20"/>
              </w:rPr>
            </w:pPr>
            <w:r w:rsidRPr="00350989">
              <w:rPr>
                <w:b/>
                <w:sz w:val="20"/>
              </w:rPr>
              <w:t>2014</w:t>
            </w:r>
          </w:p>
        </w:tc>
      </w:tr>
      <w:tr w:rsidR="009672E6" w:rsidRPr="00350989" w14:paraId="68B1031D" w14:textId="77777777" w:rsidTr="001230F1">
        <w:trPr>
          <w:trHeight w:val="714"/>
        </w:trPr>
        <w:tc>
          <w:tcPr>
            <w:tcW w:w="2032" w:type="dxa"/>
            <w:shd w:val="clear" w:color="auto" w:fill="auto"/>
          </w:tcPr>
          <w:p w14:paraId="283F634E" w14:textId="77777777" w:rsidR="002F06F0" w:rsidRPr="00350989" w:rsidRDefault="002F06F0" w:rsidP="000D7F61">
            <w:pPr>
              <w:pStyle w:val="ListParagraph"/>
              <w:spacing w:after="0"/>
              <w:ind w:left="0"/>
              <w:rPr>
                <w:sz w:val="20"/>
              </w:rPr>
            </w:pPr>
            <w:r w:rsidRPr="00350989">
              <w:rPr>
                <w:sz w:val="20"/>
              </w:rPr>
              <w:t>Scheme for the creation and operation of small units for self-employment purposes of Persons with Disabilities</w:t>
            </w:r>
          </w:p>
        </w:tc>
        <w:tc>
          <w:tcPr>
            <w:tcW w:w="1209" w:type="dxa"/>
            <w:shd w:val="clear" w:color="auto" w:fill="auto"/>
          </w:tcPr>
          <w:p w14:paraId="22D16A7A" w14:textId="77777777" w:rsidR="002F06F0" w:rsidRPr="00350989" w:rsidRDefault="002F06F0" w:rsidP="000D7F61">
            <w:pPr>
              <w:pStyle w:val="ListParagraph"/>
              <w:spacing w:after="0"/>
              <w:ind w:left="0"/>
              <w:rPr>
                <w:sz w:val="20"/>
              </w:rPr>
            </w:pPr>
            <w:r w:rsidRPr="00350989">
              <w:rPr>
                <w:sz w:val="20"/>
              </w:rPr>
              <w:t>8</w:t>
            </w:r>
          </w:p>
        </w:tc>
        <w:tc>
          <w:tcPr>
            <w:tcW w:w="1209" w:type="dxa"/>
          </w:tcPr>
          <w:p w14:paraId="56EE8B35" w14:textId="77777777" w:rsidR="002F06F0" w:rsidRPr="00350989" w:rsidRDefault="00301850" w:rsidP="000D7F61">
            <w:pPr>
              <w:pStyle w:val="ListParagraph"/>
              <w:spacing w:after="0"/>
              <w:ind w:left="0"/>
              <w:rPr>
                <w:sz w:val="20"/>
              </w:rPr>
            </w:pPr>
            <w:r w:rsidRPr="00350989">
              <w:rPr>
                <w:sz w:val="20"/>
              </w:rPr>
              <w:t>2</w:t>
            </w:r>
          </w:p>
        </w:tc>
        <w:tc>
          <w:tcPr>
            <w:tcW w:w="1209" w:type="dxa"/>
            <w:shd w:val="clear" w:color="auto" w:fill="auto"/>
          </w:tcPr>
          <w:p w14:paraId="185F55A2" w14:textId="77777777" w:rsidR="002F06F0" w:rsidRPr="00350989" w:rsidRDefault="002F06F0" w:rsidP="000D7F61">
            <w:pPr>
              <w:pStyle w:val="ListParagraph"/>
              <w:spacing w:after="0"/>
              <w:ind w:left="0"/>
              <w:rPr>
                <w:sz w:val="20"/>
              </w:rPr>
            </w:pPr>
            <w:r w:rsidRPr="00350989">
              <w:rPr>
                <w:sz w:val="20"/>
              </w:rPr>
              <w:t>6</w:t>
            </w:r>
          </w:p>
        </w:tc>
        <w:tc>
          <w:tcPr>
            <w:tcW w:w="1209" w:type="dxa"/>
          </w:tcPr>
          <w:p w14:paraId="1C64F87A" w14:textId="77777777" w:rsidR="002F06F0" w:rsidRPr="00350989" w:rsidRDefault="002F06F0" w:rsidP="000D7F61">
            <w:pPr>
              <w:pStyle w:val="ListParagraph"/>
              <w:spacing w:after="0"/>
              <w:ind w:left="0"/>
              <w:rPr>
                <w:sz w:val="20"/>
              </w:rPr>
            </w:pPr>
            <w:r w:rsidRPr="00350989">
              <w:rPr>
                <w:sz w:val="20"/>
              </w:rPr>
              <w:t>€43.569</w:t>
            </w:r>
          </w:p>
        </w:tc>
        <w:tc>
          <w:tcPr>
            <w:tcW w:w="1209" w:type="dxa"/>
          </w:tcPr>
          <w:p w14:paraId="689D24E1" w14:textId="77777777" w:rsidR="002F06F0" w:rsidRPr="00350989" w:rsidRDefault="00301850" w:rsidP="000D7F61">
            <w:pPr>
              <w:pStyle w:val="ListParagraph"/>
              <w:spacing w:after="0"/>
              <w:ind w:left="0"/>
              <w:rPr>
                <w:sz w:val="20"/>
              </w:rPr>
            </w:pPr>
            <w:r w:rsidRPr="00350989">
              <w:rPr>
                <w:sz w:val="20"/>
              </w:rPr>
              <w:t>€25.529</w:t>
            </w:r>
          </w:p>
        </w:tc>
        <w:tc>
          <w:tcPr>
            <w:tcW w:w="1209" w:type="dxa"/>
          </w:tcPr>
          <w:p w14:paraId="6F9CAD4B" w14:textId="77777777" w:rsidR="002F06F0" w:rsidRPr="00350989" w:rsidRDefault="002F06F0" w:rsidP="000D7F61">
            <w:pPr>
              <w:pStyle w:val="ListParagraph"/>
              <w:spacing w:after="0"/>
              <w:ind w:left="0"/>
              <w:rPr>
                <w:sz w:val="20"/>
              </w:rPr>
            </w:pPr>
            <w:r w:rsidRPr="00350989">
              <w:rPr>
                <w:sz w:val="20"/>
              </w:rPr>
              <w:t>€20.541</w:t>
            </w:r>
          </w:p>
        </w:tc>
      </w:tr>
      <w:tr w:rsidR="009672E6" w:rsidRPr="00350989" w14:paraId="170C69BA" w14:textId="77777777" w:rsidTr="001230F1">
        <w:trPr>
          <w:trHeight w:val="902"/>
        </w:trPr>
        <w:tc>
          <w:tcPr>
            <w:tcW w:w="2032" w:type="dxa"/>
            <w:shd w:val="clear" w:color="auto" w:fill="auto"/>
          </w:tcPr>
          <w:p w14:paraId="69D16CE3" w14:textId="359CF252" w:rsidR="002F06F0" w:rsidRPr="00350989" w:rsidRDefault="00775294" w:rsidP="000D7F61">
            <w:pPr>
              <w:pStyle w:val="ListParagraph"/>
              <w:spacing w:after="0"/>
              <w:ind w:left="0"/>
              <w:rPr>
                <w:sz w:val="20"/>
              </w:rPr>
            </w:pPr>
            <w:r w:rsidRPr="00350989">
              <w:rPr>
                <w:sz w:val="20"/>
              </w:rPr>
              <w:t xml:space="preserve">Vocational Training Scheme for </w:t>
            </w:r>
            <w:r w:rsidR="002F06F0" w:rsidRPr="00350989">
              <w:rPr>
                <w:sz w:val="20"/>
              </w:rPr>
              <w:t>people with disabilities</w:t>
            </w:r>
          </w:p>
        </w:tc>
        <w:tc>
          <w:tcPr>
            <w:tcW w:w="1209" w:type="dxa"/>
            <w:shd w:val="clear" w:color="auto" w:fill="auto"/>
          </w:tcPr>
          <w:p w14:paraId="224B3C40" w14:textId="77777777" w:rsidR="002F06F0" w:rsidRPr="00350989" w:rsidRDefault="002F06F0" w:rsidP="000D7F61">
            <w:pPr>
              <w:pStyle w:val="ListParagraph"/>
              <w:spacing w:after="0"/>
              <w:ind w:left="0"/>
              <w:rPr>
                <w:sz w:val="20"/>
              </w:rPr>
            </w:pPr>
            <w:r w:rsidRPr="00350989">
              <w:rPr>
                <w:sz w:val="20"/>
              </w:rPr>
              <w:t>10</w:t>
            </w:r>
          </w:p>
        </w:tc>
        <w:tc>
          <w:tcPr>
            <w:tcW w:w="1209" w:type="dxa"/>
          </w:tcPr>
          <w:p w14:paraId="3B53196C" w14:textId="77777777" w:rsidR="002F06F0" w:rsidRPr="00350989" w:rsidRDefault="00301850" w:rsidP="000D7F61">
            <w:pPr>
              <w:pStyle w:val="ListParagraph"/>
              <w:spacing w:after="0"/>
              <w:ind w:left="0"/>
              <w:rPr>
                <w:sz w:val="20"/>
              </w:rPr>
            </w:pPr>
            <w:r w:rsidRPr="00350989">
              <w:rPr>
                <w:sz w:val="20"/>
              </w:rPr>
              <w:t>3</w:t>
            </w:r>
          </w:p>
        </w:tc>
        <w:tc>
          <w:tcPr>
            <w:tcW w:w="1209" w:type="dxa"/>
            <w:shd w:val="clear" w:color="auto" w:fill="auto"/>
          </w:tcPr>
          <w:p w14:paraId="7E032A95" w14:textId="77777777" w:rsidR="002F06F0" w:rsidRPr="00350989" w:rsidRDefault="002F06F0" w:rsidP="000D7F61">
            <w:pPr>
              <w:pStyle w:val="ListParagraph"/>
              <w:spacing w:after="0"/>
              <w:ind w:left="0"/>
              <w:rPr>
                <w:sz w:val="20"/>
              </w:rPr>
            </w:pPr>
            <w:r w:rsidRPr="00350989">
              <w:rPr>
                <w:sz w:val="20"/>
              </w:rPr>
              <w:t>8</w:t>
            </w:r>
          </w:p>
        </w:tc>
        <w:tc>
          <w:tcPr>
            <w:tcW w:w="1209" w:type="dxa"/>
          </w:tcPr>
          <w:p w14:paraId="5A859AFA" w14:textId="77777777" w:rsidR="002F06F0" w:rsidRPr="00350989" w:rsidRDefault="002F06F0" w:rsidP="000D7F61">
            <w:pPr>
              <w:pStyle w:val="ListParagraph"/>
              <w:spacing w:after="0"/>
              <w:ind w:left="0"/>
              <w:rPr>
                <w:sz w:val="20"/>
              </w:rPr>
            </w:pPr>
            <w:r w:rsidRPr="00350989">
              <w:rPr>
                <w:sz w:val="20"/>
              </w:rPr>
              <w:t>€8.500</w:t>
            </w:r>
          </w:p>
        </w:tc>
        <w:tc>
          <w:tcPr>
            <w:tcW w:w="1209" w:type="dxa"/>
          </w:tcPr>
          <w:p w14:paraId="5297449B" w14:textId="77777777" w:rsidR="002F06F0" w:rsidRPr="00350989" w:rsidRDefault="00301850" w:rsidP="000D7F61">
            <w:pPr>
              <w:pStyle w:val="ListParagraph"/>
              <w:spacing w:after="0"/>
              <w:ind w:left="0"/>
              <w:rPr>
                <w:sz w:val="20"/>
              </w:rPr>
            </w:pPr>
            <w:r w:rsidRPr="00350989">
              <w:rPr>
                <w:sz w:val="20"/>
              </w:rPr>
              <w:t>€10.200</w:t>
            </w:r>
          </w:p>
        </w:tc>
        <w:tc>
          <w:tcPr>
            <w:tcW w:w="1209" w:type="dxa"/>
          </w:tcPr>
          <w:p w14:paraId="102FDBB5" w14:textId="77777777" w:rsidR="002F06F0" w:rsidRPr="00350989" w:rsidRDefault="002F06F0" w:rsidP="000D7F61">
            <w:pPr>
              <w:pStyle w:val="ListParagraph"/>
              <w:spacing w:after="0"/>
              <w:ind w:left="0"/>
              <w:rPr>
                <w:sz w:val="20"/>
              </w:rPr>
            </w:pPr>
            <w:r w:rsidRPr="00350989">
              <w:rPr>
                <w:sz w:val="20"/>
              </w:rPr>
              <w:t>€12.359</w:t>
            </w:r>
          </w:p>
        </w:tc>
      </w:tr>
      <w:tr w:rsidR="009672E6" w:rsidRPr="00350989" w14:paraId="52797DAA" w14:textId="77777777" w:rsidTr="001230F1">
        <w:trPr>
          <w:trHeight w:val="850"/>
        </w:trPr>
        <w:tc>
          <w:tcPr>
            <w:tcW w:w="2032" w:type="dxa"/>
            <w:shd w:val="clear" w:color="auto" w:fill="auto"/>
          </w:tcPr>
          <w:p w14:paraId="5240B62C" w14:textId="77777777" w:rsidR="002F06F0" w:rsidRPr="00350989" w:rsidRDefault="002F06F0" w:rsidP="000D7F61">
            <w:pPr>
              <w:pStyle w:val="ListParagraph"/>
              <w:spacing w:after="0"/>
              <w:ind w:left="0"/>
              <w:rPr>
                <w:sz w:val="20"/>
              </w:rPr>
            </w:pPr>
            <w:r w:rsidRPr="00350989">
              <w:rPr>
                <w:sz w:val="20"/>
              </w:rPr>
              <w:t>Supported Employment Scheme</w:t>
            </w:r>
            <w:r w:rsidR="001230F1" w:rsidRPr="00350989">
              <w:rPr>
                <w:sz w:val="20"/>
              </w:rPr>
              <w:t xml:space="preserve"> programmes</w:t>
            </w:r>
          </w:p>
        </w:tc>
        <w:tc>
          <w:tcPr>
            <w:tcW w:w="1209" w:type="dxa"/>
            <w:shd w:val="clear" w:color="auto" w:fill="auto"/>
          </w:tcPr>
          <w:p w14:paraId="17999944" w14:textId="77777777" w:rsidR="001230F1" w:rsidRPr="00350989" w:rsidRDefault="002F06F0" w:rsidP="000D7F61">
            <w:pPr>
              <w:pStyle w:val="ListParagraph"/>
              <w:spacing w:after="0"/>
              <w:ind w:left="0"/>
              <w:rPr>
                <w:sz w:val="20"/>
              </w:rPr>
            </w:pPr>
            <w:r w:rsidRPr="00350989">
              <w:rPr>
                <w:sz w:val="20"/>
              </w:rPr>
              <w:t xml:space="preserve">22 </w:t>
            </w:r>
          </w:p>
          <w:p w14:paraId="7A999307" w14:textId="77777777" w:rsidR="002F06F0" w:rsidRPr="00350989" w:rsidRDefault="002F06F0" w:rsidP="000D7F61">
            <w:pPr>
              <w:pStyle w:val="ListParagraph"/>
              <w:spacing w:after="0"/>
              <w:ind w:left="0"/>
              <w:rPr>
                <w:sz w:val="20"/>
              </w:rPr>
            </w:pPr>
            <w:r w:rsidRPr="00350989">
              <w:rPr>
                <w:sz w:val="20"/>
              </w:rPr>
              <w:t xml:space="preserve">with 236 persons employed </w:t>
            </w:r>
          </w:p>
        </w:tc>
        <w:tc>
          <w:tcPr>
            <w:tcW w:w="1209" w:type="dxa"/>
          </w:tcPr>
          <w:p w14:paraId="70AA5EC3" w14:textId="77777777" w:rsidR="001230F1" w:rsidRPr="00350989" w:rsidRDefault="00301850" w:rsidP="000D7F61">
            <w:pPr>
              <w:pStyle w:val="ListParagraph"/>
              <w:spacing w:after="0"/>
              <w:ind w:left="33"/>
              <w:rPr>
                <w:sz w:val="20"/>
              </w:rPr>
            </w:pPr>
            <w:r w:rsidRPr="00350989">
              <w:rPr>
                <w:sz w:val="20"/>
              </w:rPr>
              <w:t xml:space="preserve">22 </w:t>
            </w:r>
          </w:p>
          <w:p w14:paraId="53025C58" w14:textId="77777777" w:rsidR="002F06F0" w:rsidRPr="00350989" w:rsidRDefault="00301850" w:rsidP="000D7F61">
            <w:pPr>
              <w:pStyle w:val="ListParagraph"/>
              <w:spacing w:after="0"/>
              <w:ind w:left="33"/>
              <w:rPr>
                <w:sz w:val="20"/>
              </w:rPr>
            </w:pPr>
            <w:r w:rsidRPr="00350989">
              <w:rPr>
                <w:sz w:val="20"/>
              </w:rPr>
              <w:t>with 228 persons employed</w:t>
            </w:r>
          </w:p>
        </w:tc>
        <w:tc>
          <w:tcPr>
            <w:tcW w:w="1209" w:type="dxa"/>
            <w:shd w:val="clear" w:color="auto" w:fill="auto"/>
          </w:tcPr>
          <w:p w14:paraId="1C9D7F67" w14:textId="77777777" w:rsidR="001230F1" w:rsidRPr="00350989" w:rsidRDefault="002F06F0" w:rsidP="000D7F61">
            <w:pPr>
              <w:pStyle w:val="ListParagraph"/>
              <w:spacing w:after="0"/>
              <w:ind w:left="33"/>
              <w:rPr>
                <w:sz w:val="20"/>
              </w:rPr>
            </w:pPr>
            <w:r w:rsidRPr="00350989">
              <w:rPr>
                <w:sz w:val="20"/>
              </w:rPr>
              <w:t xml:space="preserve">23 </w:t>
            </w:r>
          </w:p>
          <w:p w14:paraId="612D4751" w14:textId="77777777" w:rsidR="002F06F0" w:rsidRPr="00350989" w:rsidRDefault="002F06F0" w:rsidP="000D7F61">
            <w:pPr>
              <w:pStyle w:val="ListParagraph"/>
              <w:spacing w:after="0"/>
              <w:ind w:left="33"/>
              <w:rPr>
                <w:sz w:val="20"/>
              </w:rPr>
            </w:pPr>
            <w:r w:rsidRPr="00350989">
              <w:rPr>
                <w:sz w:val="20"/>
              </w:rPr>
              <w:t xml:space="preserve">with 246 persons employed </w:t>
            </w:r>
          </w:p>
        </w:tc>
        <w:tc>
          <w:tcPr>
            <w:tcW w:w="1209" w:type="dxa"/>
          </w:tcPr>
          <w:p w14:paraId="2115D169" w14:textId="77777777" w:rsidR="002F06F0" w:rsidRPr="00350989" w:rsidRDefault="002F06F0" w:rsidP="000D7F61">
            <w:pPr>
              <w:pStyle w:val="ListParagraph"/>
              <w:spacing w:after="0"/>
              <w:ind w:left="33"/>
              <w:rPr>
                <w:sz w:val="20"/>
              </w:rPr>
            </w:pPr>
            <w:r w:rsidRPr="00350989">
              <w:rPr>
                <w:sz w:val="20"/>
              </w:rPr>
              <w:t>€297.000</w:t>
            </w:r>
          </w:p>
        </w:tc>
        <w:tc>
          <w:tcPr>
            <w:tcW w:w="1209" w:type="dxa"/>
          </w:tcPr>
          <w:p w14:paraId="5D0F5A99" w14:textId="77777777" w:rsidR="002F06F0" w:rsidRPr="00350989" w:rsidRDefault="00301850" w:rsidP="000D7F61">
            <w:pPr>
              <w:pStyle w:val="ListParagraph"/>
              <w:spacing w:after="0"/>
              <w:ind w:left="33"/>
              <w:rPr>
                <w:sz w:val="20"/>
              </w:rPr>
            </w:pPr>
            <w:r w:rsidRPr="00350989">
              <w:rPr>
                <w:sz w:val="20"/>
              </w:rPr>
              <w:t>€289.800</w:t>
            </w:r>
          </w:p>
        </w:tc>
        <w:tc>
          <w:tcPr>
            <w:tcW w:w="1209" w:type="dxa"/>
          </w:tcPr>
          <w:p w14:paraId="311374ED" w14:textId="77777777" w:rsidR="002F06F0" w:rsidRPr="00350989" w:rsidRDefault="002F06F0" w:rsidP="000D7F61">
            <w:pPr>
              <w:pStyle w:val="ListParagraph"/>
              <w:spacing w:after="0"/>
              <w:ind w:left="33"/>
              <w:rPr>
                <w:sz w:val="20"/>
              </w:rPr>
            </w:pPr>
            <w:r w:rsidRPr="00350989">
              <w:rPr>
                <w:sz w:val="20"/>
              </w:rPr>
              <w:t>€293.582</w:t>
            </w:r>
          </w:p>
        </w:tc>
      </w:tr>
    </w:tbl>
    <w:p w14:paraId="19D6CD3C" w14:textId="77777777" w:rsidR="00C00FC3" w:rsidRPr="00350989" w:rsidRDefault="00245231" w:rsidP="000D7F61">
      <w:pPr>
        <w:spacing w:after="0"/>
        <w:rPr>
          <w:i/>
          <w:sz w:val="20"/>
        </w:rPr>
      </w:pPr>
      <w:r w:rsidRPr="00350989">
        <w:rPr>
          <w:i/>
          <w:sz w:val="20"/>
        </w:rPr>
        <w:t xml:space="preserve">Source: </w:t>
      </w:r>
      <w:r w:rsidR="00AF3C42" w:rsidRPr="00350989">
        <w:rPr>
          <w:i/>
          <w:sz w:val="20"/>
        </w:rPr>
        <w:t xml:space="preserve">The Department for Social Inclusion of People with Disabilities </w:t>
      </w:r>
      <w:r w:rsidRPr="00350989">
        <w:rPr>
          <w:i/>
          <w:sz w:val="20"/>
        </w:rPr>
        <w:t>Annual Report (201</w:t>
      </w:r>
      <w:r w:rsidR="002F06F0" w:rsidRPr="00350989">
        <w:rPr>
          <w:i/>
          <w:sz w:val="20"/>
        </w:rPr>
        <w:t>2</w:t>
      </w:r>
      <w:r w:rsidR="00AF3C42" w:rsidRPr="00350989">
        <w:rPr>
          <w:i/>
          <w:sz w:val="20"/>
        </w:rPr>
        <w:t>)</w:t>
      </w:r>
      <w:r w:rsidR="00462CA0" w:rsidRPr="00350989">
        <w:rPr>
          <w:rStyle w:val="FootnoteReference"/>
          <w:i/>
          <w:sz w:val="20"/>
        </w:rPr>
        <w:footnoteReference w:id="14"/>
      </w:r>
      <w:r w:rsidR="002F06F0" w:rsidRPr="00350989">
        <w:rPr>
          <w:i/>
          <w:sz w:val="20"/>
        </w:rPr>
        <w:t xml:space="preserve"> and (2014)</w:t>
      </w:r>
      <w:r w:rsidR="002F06F0" w:rsidRPr="00350989">
        <w:rPr>
          <w:rStyle w:val="FootnoteReference"/>
          <w:i/>
          <w:sz w:val="20"/>
        </w:rPr>
        <w:footnoteReference w:id="15"/>
      </w:r>
    </w:p>
    <w:p w14:paraId="608C2E8B" w14:textId="77777777" w:rsidR="0031337E" w:rsidRPr="00350989" w:rsidRDefault="0031337E" w:rsidP="000D7F61">
      <w:pPr>
        <w:spacing w:after="0"/>
        <w:rPr>
          <w:i/>
        </w:rPr>
      </w:pPr>
    </w:p>
    <w:p w14:paraId="7CE269BA" w14:textId="77777777" w:rsidR="00561FF5" w:rsidRPr="00350989" w:rsidRDefault="00561FF5" w:rsidP="00D126EE">
      <w:pPr>
        <w:pStyle w:val="Heading3"/>
        <w:rPr>
          <w:lang w:val="en-GB"/>
        </w:rPr>
      </w:pPr>
      <w:bookmarkStart w:id="11" w:name="_Toc440298949"/>
      <w:bookmarkStart w:id="12" w:name="_Toc483409956"/>
      <w:r w:rsidRPr="00350989">
        <w:rPr>
          <w:lang w:val="en-GB"/>
        </w:rPr>
        <w:t>Unemployment</w:t>
      </w:r>
      <w:bookmarkEnd w:id="11"/>
      <w:bookmarkEnd w:id="12"/>
    </w:p>
    <w:p w14:paraId="14FEFF9B" w14:textId="77777777" w:rsidR="002C6BEE" w:rsidRPr="00350989" w:rsidRDefault="002C6BEE" w:rsidP="000D7F61">
      <w:pPr>
        <w:pStyle w:val="Sourcereference"/>
        <w:spacing w:after="0"/>
        <w:rPr>
          <w:rFonts w:cs="Arial"/>
          <w:sz w:val="24"/>
          <w:szCs w:val="24"/>
          <w:lang w:val="en-GB" w:eastAsia="en-GB"/>
        </w:rPr>
      </w:pPr>
    </w:p>
    <w:p w14:paraId="15A09AAE" w14:textId="42CABFDF" w:rsidR="00855CD2" w:rsidRPr="00350989" w:rsidRDefault="00855CD2" w:rsidP="000D7F61">
      <w:pPr>
        <w:spacing w:after="0"/>
      </w:pPr>
      <w:r w:rsidRPr="00350989">
        <w:t>National administrative rules and definitions of ‘unemployment’ vary, and these may affect the way in which disabled people are categorised in different countries. The following tables compare national data with the EU2020 headline indicator for the EU</w:t>
      </w:r>
      <w:r w:rsidR="000D7F61" w:rsidRPr="00350989">
        <w:t>.</w:t>
      </w:r>
    </w:p>
    <w:p w14:paraId="4D5AAF9F" w14:textId="77777777" w:rsidR="00855CD2" w:rsidRPr="00350989" w:rsidRDefault="00855CD2" w:rsidP="000D7F61">
      <w:pPr>
        <w:keepNext/>
        <w:spacing w:after="0"/>
        <w:rPr>
          <w:b/>
          <w:bCs/>
        </w:rPr>
      </w:pPr>
      <w:r w:rsidRPr="00350989">
        <w:rPr>
          <w:b/>
          <w:bCs/>
        </w:rPr>
        <w:lastRenderedPageBreak/>
        <w:t xml:space="preserve">Table </w:t>
      </w:r>
      <w:r w:rsidRPr="00350989">
        <w:rPr>
          <w:b/>
          <w:bCs/>
        </w:rPr>
        <w:fldChar w:fldCharType="begin"/>
      </w:r>
      <w:r w:rsidRPr="00350989">
        <w:rPr>
          <w:b/>
          <w:bCs/>
        </w:rPr>
        <w:instrText xml:space="preserve"> SEQ Table \* ARABIC </w:instrText>
      </w:r>
      <w:r w:rsidRPr="00350989">
        <w:rPr>
          <w:b/>
          <w:bCs/>
        </w:rPr>
        <w:fldChar w:fldCharType="separate"/>
      </w:r>
      <w:r w:rsidRPr="00350989">
        <w:rPr>
          <w:b/>
          <w:bCs/>
          <w:noProof/>
        </w:rPr>
        <w:t>6</w:t>
      </w:r>
      <w:r w:rsidRPr="00350989">
        <w:rPr>
          <w:b/>
          <w:bCs/>
          <w:noProof/>
        </w:rPr>
        <w:fldChar w:fldCharType="end"/>
      </w:r>
      <w:r w:rsidRPr="00350989">
        <w:rPr>
          <w:b/>
          <w:bCs/>
          <w:noProof/>
        </w:rPr>
        <w:t>: Most recent unemployment data, aged 20-64</w:t>
      </w:r>
    </w:p>
    <w:p w14:paraId="2B103942" w14:textId="77777777" w:rsidR="00855CD2" w:rsidRPr="00350989" w:rsidRDefault="00855CD2" w:rsidP="000D7F61">
      <w:pPr>
        <w:spacing w:after="0"/>
      </w:pPr>
      <w:r w:rsidRPr="00350989">
        <w:rPr>
          <w:noProof/>
          <w:lang w:val="nl-NL" w:eastAsia="nl-NL"/>
        </w:rPr>
        <w:drawing>
          <wp:inline distT="0" distB="0" distL="0" distR="0" wp14:anchorId="548EB6A8" wp14:editId="0202252D">
            <wp:extent cx="5583044" cy="2594517"/>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871724B" w14:textId="752B6323" w:rsidR="00855CD2" w:rsidRPr="00350989" w:rsidRDefault="00855CD2" w:rsidP="000D7F61">
      <w:pPr>
        <w:spacing w:after="0"/>
        <w:rPr>
          <w:i/>
          <w:sz w:val="20"/>
          <w:lang w:eastAsia="en-GB"/>
        </w:rPr>
      </w:pPr>
      <w:r w:rsidRPr="00350989">
        <w:rPr>
          <w:i/>
          <w:sz w:val="20"/>
        </w:rPr>
        <w:t xml:space="preserve">Source: </w:t>
      </w:r>
      <w:r w:rsidRPr="00350989">
        <w:rPr>
          <w:i/>
          <w:sz w:val="20"/>
          <w:lang w:eastAsia="en-GB"/>
        </w:rPr>
        <w:t>EUSILC UDB 2014 – version 2 of August 2016</w:t>
      </w:r>
    </w:p>
    <w:p w14:paraId="1C873E89" w14:textId="77777777" w:rsidR="00D126EE" w:rsidRPr="00350989" w:rsidRDefault="00D126EE" w:rsidP="000D7F61">
      <w:pPr>
        <w:spacing w:after="0"/>
        <w:rPr>
          <w:i/>
          <w:lang w:eastAsia="en-GB"/>
        </w:rPr>
      </w:pPr>
    </w:p>
    <w:p w14:paraId="233A6E81" w14:textId="77777777" w:rsidR="00855CD2" w:rsidRPr="00350989" w:rsidRDefault="00855CD2" w:rsidP="000D7F61">
      <w:pPr>
        <w:spacing w:after="0"/>
        <w:rPr>
          <w:b/>
          <w:bCs/>
        </w:rPr>
      </w:pPr>
      <w:r w:rsidRPr="00350989">
        <w:rPr>
          <w:b/>
          <w:bCs/>
        </w:rPr>
        <w:t xml:space="preserve">Table </w:t>
      </w:r>
      <w:r w:rsidRPr="00350989">
        <w:rPr>
          <w:b/>
          <w:bCs/>
        </w:rPr>
        <w:fldChar w:fldCharType="begin"/>
      </w:r>
      <w:r w:rsidRPr="00350989">
        <w:rPr>
          <w:b/>
          <w:bCs/>
        </w:rPr>
        <w:instrText xml:space="preserve"> SEQ Table \* ARABIC </w:instrText>
      </w:r>
      <w:r w:rsidRPr="00350989">
        <w:rPr>
          <w:b/>
          <w:bCs/>
        </w:rPr>
        <w:fldChar w:fldCharType="separate"/>
      </w:r>
      <w:r w:rsidRPr="00350989">
        <w:rPr>
          <w:b/>
          <w:bCs/>
          <w:noProof/>
        </w:rPr>
        <w:t>7</w:t>
      </w:r>
      <w:r w:rsidRPr="00350989">
        <w:rPr>
          <w:b/>
          <w:bCs/>
          <w:noProof/>
        </w:rPr>
        <w:fldChar w:fldCharType="end"/>
      </w:r>
      <w:r w:rsidRPr="00350989">
        <w:rPr>
          <w:b/>
          <w:bCs/>
        </w:rPr>
        <w:t>: Unemployment rate data, by age group</w:t>
      </w:r>
    </w:p>
    <w:p w14:paraId="13AE1ABD" w14:textId="77777777" w:rsidR="00855CD2" w:rsidRPr="00350989" w:rsidRDefault="00855CD2" w:rsidP="000D7F61">
      <w:pPr>
        <w:spacing w:after="0"/>
      </w:pPr>
      <w:r w:rsidRPr="00350989">
        <w:rPr>
          <w:noProof/>
          <w:lang w:val="nl-NL" w:eastAsia="nl-NL"/>
        </w:rPr>
        <w:drawing>
          <wp:inline distT="0" distB="0" distL="0" distR="0" wp14:anchorId="2758DBA2" wp14:editId="16EE96BF">
            <wp:extent cx="5583044" cy="2668858"/>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9449044" w14:textId="77777777" w:rsidR="00855CD2" w:rsidRPr="00350989" w:rsidRDefault="00855CD2" w:rsidP="000D7F61">
      <w:pPr>
        <w:spacing w:after="0"/>
        <w:rPr>
          <w:i/>
          <w:lang w:eastAsia="en-GB"/>
        </w:rPr>
      </w:pPr>
      <w:r w:rsidRPr="00350989">
        <w:rPr>
          <w:i/>
          <w:sz w:val="20"/>
        </w:rPr>
        <w:t xml:space="preserve">Source: </w:t>
      </w:r>
      <w:r w:rsidRPr="00350989">
        <w:rPr>
          <w:i/>
          <w:sz w:val="20"/>
          <w:lang w:eastAsia="en-GB"/>
        </w:rPr>
        <w:t>EUSILC UDB 2014 – version 2 of August 2016</w:t>
      </w:r>
    </w:p>
    <w:p w14:paraId="765F3EBE" w14:textId="77777777" w:rsidR="00855CD2" w:rsidRPr="00350989" w:rsidRDefault="00855CD2" w:rsidP="000D7F61">
      <w:pPr>
        <w:spacing w:after="0"/>
        <w:rPr>
          <w:lang w:eastAsia="en-GB"/>
        </w:rPr>
      </w:pPr>
    </w:p>
    <w:p w14:paraId="3EF6E826" w14:textId="77777777" w:rsidR="00855CD2" w:rsidRPr="00350989" w:rsidRDefault="00855CD2" w:rsidP="000D7F61">
      <w:pPr>
        <w:keepNext/>
        <w:spacing w:after="0"/>
        <w:rPr>
          <w:b/>
          <w:bCs/>
        </w:rPr>
      </w:pPr>
      <w:r w:rsidRPr="00350989">
        <w:rPr>
          <w:b/>
          <w:bCs/>
        </w:rPr>
        <w:lastRenderedPageBreak/>
        <w:t xml:space="preserve">Table </w:t>
      </w:r>
      <w:r w:rsidRPr="00350989">
        <w:rPr>
          <w:b/>
          <w:bCs/>
        </w:rPr>
        <w:fldChar w:fldCharType="begin"/>
      </w:r>
      <w:r w:rsidRPr="00350989">
        <w:rPr>
          <w:b/>
          <w:bCs/>
        </w:rPr>
        <w:instrText xml:space="preserve"> SEQ Table \* ARABIC </w:instrText>
      </w:r>
      <w:r w:rsidRPr="00350989">
        <w:rPr>
          <w:b/>
          <w:bCs/>
        </w:rPr>
        <w:fldChar w:fldCharType="separate"/>
      </w:r>
      <w:r w:rsidRPr="00350989">
        <w:rPr>
          <w:b/>
          <w:bCs/>
          <w:noProof/>
        </w:rPr>
        <w:t>8</w:t>
      </w:r>
      <w:r w:rsidRPr="00350989">
        <w:rPr>
          <w:b/>
          <w:bCs/>
          <w:noProof/>
        </w:rPr>
        <w:fldChar w:fldCharType="end"/>
      </w:r>
      <w:r w:rsidRPr="00350989">
        <w:rPr>
          <w:b/>
          <w:bCs/>
        </w:rPr>
        <w:t>: Trends in unemployment by gender and disability (aged 20-64)</w:t>
      </w:r>
    </w:p>
    <w:p w14:paraId="2134CDA7" w14:textId="77777777" w:rsidR="00855CD2" w:rsidRPr="00350989" w:rsidRDefault="00855CD2" w:rsidP="000D7F61">
      <w:pPr>
        <w:spacing w:after="0"/>
      </w:pPr>
      <w:r w:rsidRPr="00350989">
        <w:rPr>
          <w:noProof/>
          <w:lang w:val="nl-NL" w:eastAsia="nl-NL"/>
        </w:rPr>
        <w:drawing>
          <wp:inline distT="0" distB="0" distL="0" distR="0" wp14:anchorId="5A19CD0A" wp14:editId="2ADBE68E">
            <wp:extent cx="5486400" cy="4638675"/>
            <wp:effectExtent l="0" t="0" r="19050" b="952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1C23CF7" w14:textId="77777777" w:rsidR="00855CD2" w:rsidRPr="00350989" w:rsidRDefault="00855CD2" w:rsidP="000D7F61">
      <w:pPr>
        <w:spacing w:after="0"/>
        <w:rPr>
          <w:i/>
          <w:sz w:val="20"/>
          <w:lang w:eastAsia="en-GB"/>
        </w:rPr>
      </w:pPr>
      <w:r w:rsidRPr="00350989">
        <w:rPr>
          <w:i/>
          <w:sz w:val="20"/>
        </w:rPr>
        <w:t xml:space="preserve">Source: </w:t>
      </w:r>
      <w:r w:rsidRPr="00350989">
        <w:rPr>
          <w:i/>
          <w:sz w:val="20"/>
          <w:lang w:eastAsia="en-GB"/>
        </w:rPr>
        <w:t>EUSILC UDB 2014 – version 2 of August 2016 (and preceding UDBs)</w:t>
      </w:r>
    </w:p>
    <w:p w14:paraId="13A9732D" w14:textId="77777777" w:rsidR="00855CD2" w:rsidRPr="00350989" w:rsidRDefault="00855CD2" w:rsidP="000D7F61">
      <w:pPr>
        <w:spacing w:after="0"/>
        <w:rPr>
          <w:i/>
          <w:sz w:val="20"/>
          <w:lang w:eastAsia="en-GB"/>
        </w:rPr>
      </w:pPr>
      <w:r w:rsidRPr="00350989">
        <w:rPr>
          <w:i/>
          <w:sz w:val="20"/>
          <w:lang w:eastAsia="en-GB"/>
        </w:rPr>
        <w:t>* There is some missing data in the trend for Cyprus</w:t>
      </w:r>
    </w:p>
    <w:p w14:paraId="66B4359A" w14:textId="77777777" w:rsidR="00471696" w:rsidRPr="00350989" w:rsidRDefault="00471696" w:rsidP="000D7F61">
      <w:pPr>
        <w:pStyle w:val="Un-numberedsubheading"/>
        <w:spacing w:after="0"/>
        <w:rPr>
          <w:rFonts w:cs="Arial"/>
          <w:sz w:val="24"/>
          <w:szCs w:val="24"/>
          <w:lang w:val="en-GB"/>
        </w:rPr>
      </w:pPr>
    </w:p>
    <w:p w14:paraId="2A7944E4" w14:textId="77777777" w:rsidR="00082E6D" w:rsidRPr="00350989" w:rsidRDefault="00082E6D" w:rsidP="000D7F61">
      <w:pPr>
        <w:pStyle w:val="Un-numberedsubheading"/>
        <w:spacing w:after="0"/>
        <w:rPr>
          <w:rFonts w:cs="Arial"/>
          <w:sz w:val="24"/>
          <w:szCs w:val="24"/>
          <w:lang w:val="en-GB"/>
        </w:rPr>
      </w:pPr>
      <w:r w:rsidRPr="00350989">
        <w:rPr>
          <w:rFonts w:cs="Arial"/>
          <w:sz w:val="24"/>
          <w:szCs w:val="24"/>
          <w:lang w:val="en-GB"/>
        </w:rPr>
        <w:t>Alternative data on disability and unemployment from national sources:</w:t>
      </w:r>
    </w:p>
    <w:p w14:paraId="0954A08B" w14:textId="77777777" w:rsidR="00B87D1F" w:rsidRPr="00350989" w:rsidRDefault="00B87D1F" w:rsidP="000D7F61">
      <w:pPr>
        <w:spacing w:after="0"/>
      </w:pPr>
    </w:p>
    <w:p w14:paraId="6CA0B639" w14:textId="2FD9859B" w:rsidR="00471696" w:rsidRPr="00350989" w:rsidRDefault="00212BCB" w:rsidP="000D7F61">
      <w:pPr>
        <w:spacing w:after="0"/>
      </w:pPr>
      <w:r w:rsidRPr="00350989">
        <w:t>No</w:t>
      </w:r>
      <w:r w:rsidR="008D0728" w:rsidRPr="00350989">
        <w:t xml:space="preserve"> alternative data on disability and unemployment </w:t>
      </w:r>
      <w:r w:rsidR="009A596D" w:rsidRPr="00350989">
        <w:t>were identified from the</w:t>
      </w:r>
      <w:r w:rsidR="00471696" w:rsidRPr="00350989">
        <w:t xml:space="preserve"> </w:t>
      </w:r>
      <w:r w:rsidR="008D0728" w:rsidRPr="00350989">
        <w:t>national sources accessed for this report.</w:t>
      </w:r>
      <w:r w:rsidR="00516D75" w:rsidRPr="00350989">
        <w:t xml:space="preserve"> </w:t>
      </w:r>
      <w:r w:rsidR="00411E67" w:rsidRPr="00350989">
        <w:t xml:space="preserve">Some further discussion </w:t>
      </w:r>
      <w:r w:rsidR="00444FE8" w:rsidRPr="00350989">
        <w:t>is provided in section 3 below.</w:t>
      </w:r>
    </w:p>
    <w:p w14:paraId="46E76AEB" w14:textId="77777777" w:rsidR="00444FE8" w:rsidRPr="00350989" w:rsidRDefault="00444FE8" w:rsidP="000D7F61">
      <w:pPr>
        <w:spacing w:after="0"/>
      </w:pPr>
    </w:p>
    <w:p w14:paraId="28CBEC5B" w14:textId="77777777" w:rsidR="00D126EE" w:rsidRPr="00350989" w:rsidRDefault="00D126EE">
      <w:pPr>
        <w:spacing w:after="0"/>
        <w:rPr>
          <w:rFonts w:eastAsia="SimSun"/>
          <w:b/>
          <w:bCs/>
        </w:rPr>
      </w:pPr>
      <w:bookmarkStart w:id="13" w:name="_Toc440298950"/>
      <w:r w:rsidRPr="00350989">
        <w:br w:type="page"/>
      </w:r>
    </w:p>
    <w:p w14:paraId="6C7B86E4" w14:textId="59E106BA" w:rsidR="008A5AB7" w:rsidRPr="00350989" w:rsidRDefault="00561FF5" w:rsidP="00D126EE">
      <w:pPr>
        <w:pStyle w:val="Heading3"/>
        <w:rPr>
          <w:lang w:val="en-GB"/>
        </w:rPr>
      </w:pPr>
      <w:bookmarkStart w:id="14" w:name="_Toc483409957"/>
      <w:r w:rsidRPr="00350989">
        <w:rPr>
          <w:lang w:val="en-GB"/>
        </w:rPr>
        <w:lastRenderedPageBreak/>
        <w:t>Economic activity</w:t>
      </w:r>
      <w:bookmarkEnd w:id="13"/>
      <w:bookmarkEnd w:id="14"/>
    </w:p>
    <w:p w14:paraId="59F2BF1B" w14:textId="77777777" w:rsidR="00B87D1F" w:rsidRPr="00350989" w:rsidRDefault="00B87D1F" w:rsidP="000D7F61">
      <w:pPr>
        <w:spacing w:after="0"/>
        <w:rPr>
          <w:b/>
          <w:bCs/>
        </w:rPr>
      </w:pPr>
    </w:p>
    <w:p w14:paraId="509A4666" w14:textId="004A8A1A" w:rsidR="00855CD2" w:rsidRPr="00350989" w:rsidRDefault="00855CD2" w:rsidP="000D7F61">
      <w:pPr>
        <w:spacing w:after="0"/>
        <w:rPr>
          <w:b/>
          <w:bCs/>
        </w:rPr>
      </w:pPr>
      <w:r w:rsidRPr="00350989">
        <w:rPr>
          <w:b/>
          <w:bCs/>
        </w:rPr>
        <w:t xml:space="preserve">Table </w:t>
      </w:r>
      <w:r w:rsidRPr="00350989">
        <w:rPr>
          <w:b/>
          <w:bCs/>
        </w:rPr>
        <w:fldChar w:fldCharType="begin"/>
      </w:r>
      <w:r w:rsidRPr="00350989">
        <w:rPr>
          <w:b/>
          <w:bCs/>
        </w:rPr>
        <w:instrText xml:space="preserve"> SEQ Table \* ARABIC </w:instrText>
      </w:r>
      <w:r w:rsidRPr="00350989">
        <w:rPr>
          <w:b/>
          <w:bCs/>
        </w:rPr>
        <w:fldChar w:fldCharType="separate"/>
      </w:r>
      <w:r w:rsidRPr="00350989">
        <w:rPr>
          <w:b/>
          <w:bCs/>
          <w:noProof/>
        </w:rPr>
        <w:t>9</w:t>
      </w:r>
      <w:r w:rsidRPr="00350989">
        <w:rPr>
          <w:b/>
          <w:bCs/>
          <w:noProof/>
        </w:rPr>
        <w:fldChar w:fldCharType="end"/>
      </w:r>
      <w:r w:rsidRPr="00350989">
        <w:rPr>
          <w:b/>
          <w:bCs/>
          <w:noProof/>
        </w:rPr>
        <w:t>: Most recent economic activty data, aged 20-64</w:t>
      </w:r>
    </w:p>
    <w:p w14:paraId="498B9DDB" w14:textId="77777777" w:rsidR="00855CD2" w:rsidRPr="00350989" w:rsidRDefault="00855CD2" w:rsidP="000D7F61">
      <w:pPr>
        <w:spacing w:after="0"/>
      </w:pPr>
      <w:r w:rsidRPr="00350989">
        <w:rPr>
          <w:noProof/>
          <w:lang w:val="nl-NL" w:eastAsia="nl-NL"/>
        </w:rPr>
        <w:drawing>
          <wp:inline distT="0" distB="0" distL="0" distR="0" wp14:anchorId="69474805" wp14:editId="6EA2C8C5">
            <wp:extent cx="5583044" cy="2594517"/>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C33BC7E" w14:textId="345A7AA0" w:rsidR="00855CD2" w:rsidRPr="00350989" w:rsidRDefault="00855CD2" w:rsidP="000D7F61">
      <w:pPr>
        <w:spacing w:after="0"/>
        <w:rPr>
          <w:i/>
          <w:sz w:val="20"/>
          <w:lang w:eastAsia="en-GB"/>
        </w:rPr>
      </w:pPr>
      <w:r w:rsidRPr="00350989">
        <w:rPr>
          <w:i/>
          <w:sz w:val="20"/>
        </w:rPr>
        <w:t xml:space="preserve">Source: </w:t>
      </w:r>
      <w:r w:rsidRPr="00350989">
        <w:rPr>
          <w:i/>
          <w:sz w:val="20"/>
          <w:lang w:eastAsia="en-GB"/>
        </w:rPr>
        <w:t>EUSILC UDB 2014 – version 2 of August 2016</w:t>
      </w:r>
    </w:p>
    <w:p w14:paraId="0E1F2D76" w14:textId="77777777" w:rsidR="00D126EE" w:rsidRPr="00350989" w:rsidRDefault="00D126EE" w:rsidP="000D7F61">
      <w:pPr>
        <w:spacing w:after="0"/>
        <w:rPr>
          <w:i/>
          <w:lang w:eastAsia="en-GB"/>
        </w:rPr>
      </w:pPr>
    </w:p>
    <w:p w14:paraId="37D2F0C3" w14:textId="77777777" w:rsidR="00855CD2" w:rsidRPr="00350989" w:rsidRDefault="00855CD2" w:rsidP="000D7F61">
      <w:pPr>
        <w:spacing w:after="0"/>
        <w:rPr>
          <w:b/>
          <w:bCs/>
        </w:rPr>
      </w:pPr>
      <w:r w:rsidRPr="00350989">
        <w:rPr>
          <w:b/>
          <w:bCs/>
        </w:rPr>
        <w:t xml:space="preserve">Table </w:t>
      </w:r>
      <w:r w:rsidRPr="00350989">
        <w:rPr>
          <w:b/>
          <w:bCs/>
        </w:rPr>
        <w:fldChar w:fldCharType="begin"/>
      </w:r>
      <w:r w:rsidRPr="00350989">
        <w:rPr>
          <w:b/>
          <w:bCs/>
        </w:rPr>
        <w:instrText xml:space="preserve"> SEQ Table \* ARABIC </w:instrText>
      </w:r>
      <w:r w:rsidRPr="00350989">
        <w:rPr>
          <w:b/>
          <w:bCs/>
        </w:rPr>
        <w:fldChar w:fldCharType="separate"/>
      </w:r>
      <w:r w:rsidRPr="00350989">
        <w:rPr>
          <w:b/>
          <w:bCs/>
          <w:noProof/>
        </w:rPr>
        <w:t>10</w:t>
      </w:r>
      <w:r w:rsidRPr="00350989">
        <w:rPr>
          <w:b/>
          <w:bCs/>
          <w:noProof/>
        </w:rPr>
        <w:fldChar w:fldCharType="end"/>
      </w:r>
      <w:r w:rsidRPr="00350989">
        <w:rPr>
          <w:b/>
          <w:bCs/>
        </w:rPr>
        <w:t>: Activity rate data, by age group</w:t>
      </w:r>
    </w:p>
    <w:p w14:paraId="326B2B27" w14:textId="77777777" w:rsidR="00855CD2" w:rsidRPr="00350989" w:rsidRDefault="00855CD2" w:rsidP="000D7F61">
      <w:pPr>
        <w:spacing w:after="0"/>
      </w:pPr>
      <w:r w:rsidRPr="00350989">
        <w:rPr>
          <w:noProof/>
          <w:lang w:val="nl-NL" w:eastAsia="nl-NL"/>
        </w:rPr>
        <w:drawing>
          <wp:inline distT="0" distB="0" distL="0" distR="0" wp14:anchorId="75FD2F6A" wp14:editId="0D10ED79">
            <wp:extent cx="5583044" cy="2668858"/>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FBA7BD2" w14:textId="3670B7C5" w:rsidR="00855CD2" w:rsidRPr="00350989" w:rsidRDefault="00855CD2" w:rsidP="000D7F61">
      <w:pPr>
        <w:spacing w:after="0"/>
        <w:rPr>
          <w:i/>
          <w:sz w:val="20"/>
          <w:lang w:eastAsia="en-GB"/>
        </w:rPr>
      </w:pPr>
      <w:r w:rsidRPr="00350989">
        <w:rPr>
          <w:i/>
          <w:sz w:val="20"/>
        </w:rPr>
        <w:t xml:space="preserve">Source: </w:t>
      </w:r>
      <w:r w:rsidRPr="00350989">
        <w:rPr>
          <w:i/>
          <w:sz w:val="20"/>
          <w:lang w:eastAsia="en-GB"/>
        </w:rPr>
        <w:t xml:space="preserve">EUSILC UDB </w:t>
      </w:r>
      <w:r w:rsidR="00444FE8" w:rsidRPr="00350989">
        <w:rPr>
          <w:i/>
          <w:sz w:val="20"/>
          <w:lang w:eastAsia="en-GB"/>
        </w:rPr>
        <w:t>2014 – version 2 of August 2016</w:t>
      </w:r>
    </w:p>
    <w:p w14:paraId="302D1955" w14:textId="77777777" w:rsidR="00855CD2" w:rsidRPr="00350989" w:rsidRDefault="00855CD2" w:rsidP="000D7F61">
      <w:pPr>
        <w:spacing w:after="0"/>
        <w:rPr>
          <w:lang w:eastAsia="en-GB"/>
        </w:rPr>
      </w:pPr>
    </w:p>
    <w:p w14:paraId="4D31970A" w14:textId="77777777" w:rsidR="00855CD2" w:rsidRPr="00350989" w:rsidRDefault="00855CD2" w:rsidP="000D7F61">
      <w:pPr>
        <w:keepNext/>
        <w:spacing w:after="0"/>
        <w:rPr>
          <w:b/>
          <w:bCs/>
        </w:rPr>
      </w:pPr>
      <w:r w:rsidRPr="00350989">
        <w:rPr>
          <w:b/>
          <w:bCs/>
        </w:rPr>
        <w:lastRenderedPageBreak/>
        <w:t xml:space="preserve">Table </w:t>
      </w:r>
      <w:r w:rsidRPr="00350989">
        <w:rPr>
          <w:b/>
          <w:bCs/>
        </w:rPr>
        <w:fldChar w:fldCharType="begin"/>
      </w:r>
      <w:r w:rsidRPr="00350989">
        <w:rPr>
          <w:b/>
          <w:bCs/>
        </w:rPr>
        <w:instrText xml:space="preserve"> SEQ Table \* ARABIC </w:instrText>
      </w:r>
      <w:r w:rsidRPr="00350989">
        <w:rPr>
          <w:b/>
          <w:bCs/>
        </w:rPr>
        <w:fldChar w:fldCharType="separate"/>
      </w:r>
      <w:r w:rsidRPr="00350989">
        <w:rPr>
          <w:b/>
          <w:bCs/>
          <w:noProof/>
        </w:rPr>
        <w:t>11</w:t>
      </w:r>
      <w:r w:rsidRPr="00350989">
        <w:rPr>
          <w:b/>
          <w:bCs/>
          <w:noProof/>
        </w:rPr>
        <w:fldChar w:fldCharType="end"/>
      </w:r>
      <w:r w:rsidRPr="00350989">
        <w:rPr>
          <w:b/>
          <w:bCs/>
        </w:rPr>
        <w:t>: Trends in activity rates by gender and disability (aged 20-64)</w:t>
      </w:r>
    </w:p>
    <w:p w14:paraId="027C2737" w14:textId="77777777" w:rsidR="00855CD2" w:rsidRPr="00350989" w:rsidRDefault="00855CD2" w:rsidP="000D7F61">
      <w:pPr>
        <w:spacing w:after="0"/>
      </w:pPr>
      <w:r w:rsidRPr="00350989">
        <w:rPr>
          <w:noProof/>
          <w:lang w:val="nl-NL" w:eastAsia="nl-NL"/>
        </w:rPr>
        <w:drawing>
          <wp:inline distT="0" distB="0" distL="0" distR="0" wp14:anchorId="5D72E717" wp14:editId="1C1836AC">
            <wp:extent cx="5486400" cy="4638675"/>
            <wp:effectExtent l="0" t="0" r="19050" b="952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FF90E84" w14:textId="77777777" w:rsidR="00855CD2" w:rsidRPr="00350989" w:rsidRDefault="00855CD2" w:rsidP="000D7F61">
      <w:pPr>
        <w:spacing w:after="0"/>
        <w:rPr>
          <w:i/>
          <w:sz w:val="20"/>
          <w:lang w:eastAsia="en-GB"/>
        </w:rPr>
      </w:pPr>
      <w:r w:rsidRPr="00350989">
        <w:rPr>
          <w:i/>
          <w:sz w:val="20"/>
        </w:rPr>
        <w:t xml:space="preserve">Source: </w:t>
      </w:r>
      <w:r w:rsidRPr="00350989">
        <w:rPr>
          <w:i/>
          <w:sz w:val="20"/>
          <w:lang w:eastAsia="en-GB"/>
        </w:rPr>
        <w:t>EUSILC UDB 2014 – version 2 of August 2016 (and preceding UDBs)</w:t>
      </w:r>
    </w:p>
    <w:p w14:paraId="40AEDE3C" w14:textId="77777777" w:rsidR="00855CD2" w:rsidRPr="00350989" w:rsidRDefault="00855CD2" w:rsidP="000D7F61">
      <w:pPr>
        <w:spacing w:after="0" w:line="276" w:lineRule="auto"/>
        <w:rPr>
          <w:i/>
          <w:sz w:val="20"/>
        </w:rPr>
      </w:pPr>
      <w:r w:rsidRPr="00350989">
        <w:rPr>
          <w:i/>
          <w:sz w:val="20"/>
        </w:rPr>
        <w:t>* There is some missing data in the trend for Cyprus</w:t>
      </w:r>
    </w:p>
    <w:p w14:paraId="32B84457" w14:textId="6AAEAB71" w:rsidR="00855CD2" w:rsidRPr="00350989" w:rsidRDefault="00855CD2" w:rsidP="000D7F61">
      <w:pPr>
        <w:spacing w:after="0"/>
        <w:rPr>
          <w:i/>
        </w:rPr>
      </w:pPr>
    </w:p>
    <w:p w14:paraId="622288E8" w14:textId="77777777" w:rsidR="0066278F" w:rsidRPr="00350989" w:rsidRDefault="0066278F" w:rsidP="000D7F61">
      <w:pPr>
        <w:pStyle w:val="Un-numberedsubheading"/>
        <w:spacing w:after="0"/>
        <w:rPr>
          <w:rFonts w:cs="Arial"/>
          <w:sz w:val="24"/>
          <w:szCs w:val="24"/>
          <w:lang w:val="en-GB"/>
        </w:rPr>
      </w:pPr>
      <w:r w:rsidRPr="00350989">
        <w:rPr>
          <w:rFonts w:cs="Arial"/>
          <w:sz w:val="24"/>
          <w:szCs w:val="24"/>
          <w:lang w:val="en-GB"/>
        </w:rPr>
        <w:t xml:space="preserve">Alternative data on disability and </w:t>
      </w:r>
      <w:r w:rsidR="00ED4CF4" w:rsidRPr="00350989">
        <w:rPr>
          <w:rFonts w:cs="Arial"/>
          <w:sz w:val="24"/>
          <w:szCs w:val="24"/>
          <w:lang w:val="en-GB"/>
        </w:rPr>
        <w:t>economic activity</w:t>
      </w:r>
      <w:r w:rsidRPr="00350989">
        <w:rPr>
          <w:rFonts w:cs="Arial"/>
          <w:sz w:val="24"/>
          <w:szCs w:val="24"/>
          <w:lang w:val="en-GB"/>
        </w:rPr>
        <w:t xml:space="preserve"> </w:t>
      </w:r>
      <w:r w:rsidR="00803568" w:rsidRPr="00350989">
        <w:rPr>
          <w:rFonts w:cs="Arial"/>
          <w:sz w:val="24"/>
          <w:szCs w:val="24"/>
          <w:lang w:val="en-GB"/>
        </w:rPr>
        <w:t>provided by the national expert</w:t>
      </w:r>
      <w:r w:rsidRPr="00350989">
        <w:rPr>
          <w:rFonts w:cs="Arial"/>
          <w:sz w:val="24"/>
          <w:szCs w:val="24"/>
          <w:lang w:val="en-GB"/>
        </w:rPr>
        <w:t>:</w:t>
      </w:r>
    </w:p>
    <w:p w14:paraId="61EB1B2C" w14:textId="77777777" w:rsidR="00B87D1F" w:rsidRPr="00350989" w:rsidRDefault="00B87D1F" w:rsidP="000D7F61">
      <w:pPr>
        <w:pStyle w:val="Un-numberedsubheading"/>
        <w:spacing w:after="0"/>
        <w:rPr>
          <w:rFonts w:cs="Arial"/>
          <w:sz w:val="24"/>
          <w:szCs w:val="24"/>
          <w:lang w:val="en-GB"/>
        </w:rPr>
      </w:pPr>
    </w:p>
    <w:p w14:paraId="137E6099" w14:textId="77777777" w:rsidR="008D0728" w:rsidRPr="00350989" w:rsidRDefault="00212BCB" w:rsidP="000D7F61">
      <w:pPr>
        <w:spacing w:after="0"/>
      </w:pPr>
      <w:r w:rsidRPr="00350989">
        <w:t>No</w:t>
      </w:r>
      <w:r w:rsidR="008D0728" w:rsidRPr="00350989">
        <w:t xml:space="preserve"> alternative data on disability and unemployment </w:t>
      </w:r>
      <w:r w:rsidR="009A596D" w:rsidRPr="00350989">
        <w:t>were identified from the</w:t>
      </w:r>
      <w:r w:rsidR="00471696" w:rsidRPr="00350989">
        <w:t xml:space="preserve"> </w:t>
      </w:r>
      <w:r w:rsidR="008D0728" w:rsidRPr="00350989">
        <w:t>national sources accessed for this report.</w:t>
      </w:r>
      <w:r w:rsidR="00471696" w:rsidRPr="00350989">
        <w:t xml:space="preserve"> </w:t>
      </w:r>
    </w:p>
    <w:p w14:paraId="724C797D" w14:textId="77777777" w:rsidR="005831C6" w:rsidRPr="00350989" w:rsidRDefault="005831C6" w:rsidP="000D7F61">
      <w:pPr>
        <w:spacing w:after="0"/>
      </w:pPr>
    </w:p>
    <w:p w14:paraId="7ADD9B2E" w14:textId="77777777" w:rsidR="000E59E4" w:rsidRPr="00350989" w:rsidRDefault="00BF6032" w:rsidP="00BA68F1">
      <w:pPr>
        <w:pStyle w:val="Heading2"/>
      </w:pPr>
      <w:bookmarkStart w:id="15" w:name="_Toc440298951"/>
      <w:bookmarkStart w:id="16" w:name="_Toc483409958"/>
      <w:r w:rsidRPr="00350989">
        <w:t>Education</w:t>
      </w:r>
      <w:r w:rsidR="00D939BF" w:rsidRPr="00350989">
        <w:t xml:space="preserve"> data</w:t>
      </w:r>
      <w:bookmarkEnd w:id="15"/>
      <w:bookmarkEnd w:id="16"/>
    </w:p>
    <w:p w14:paraId="22972DC5" w14:textId="77777777" w:rsidR="00B87D1F" w:rsidRPr="00350989" w:rsidRDefault="00B87D1F" w:rsidP="000D7F61">
      <w:pPr>
        <w:pStyle w:val="BodyText"/>
        <w:spacing w:after="0"/>
      </w:pPr>
    </w:p>
    <w:p w14:paraId="1CC3B45D" w14:textId="77777777" w:rsidR="005A3FC7" w:rsidRPr="00350989" w:rsidRDefault="00A55D57" w:rsidP="000D7F61">
      <w:pPr>
        <w:pStyle w:val="BodyText"/>
        <w:spacing w:after="0"/>
      </w:pPr>
      <w:r w:rsidRPr="00350989">
        <w:t xml:space="preserve">EU </w:t>
      </w:r>
      <w:r w:rsidR="005A3FC7" w:rsidRPr="00350989">
        <w:t xml:space="preserve">statistical comparisons </w:t>
      </w:r>
      <w:r w:rsidR="00ED4CF4" w:rsidRPr="00350989">
        <w:t xml:space="preserve">are </w:t>
      </w:r>
      <w:r w:rsidR="00837BCB" w:rsidRPr="00350989">
        <w:t xml:space="preserve">more </w:t>
      </w:r>
      <w:r w:rsidR="00ED4CF4" w:rsidRPr="00350989">
        <w:t xml:space="preserve">limited </w:t>
      </w:r>
      <w:r w:rsidR="00BF6032" w:rsidRPr="00350989">
        <w:t>concerning</w:t>
      </w:r>
      <w:r w:rsidR="005A3FC7" w:rsidRPr="00350989">
        <w:t xml:space="preserve"> the education of young</w:t>
      </w:r>
      <w:r w:rsidR="00512FB4" w:rsidRPr="00350989">
        <w:t xml:space="preserve"> disabled </w:t>
      </w:r>
      <w:r w:rsidR="005A3FC7" w:rsidRPr="00350989">
        <w:t xml:space="preserve">women and men </w:t>
      </w:r>
      <w:r w:rsidR="00837BCB" w:rsidRPr="00350989">
        <w:t>in the EU2020 target age groups</w:t>
      </w:r>
      <w:r w:rsidR="005A3FC7" w:rsidRPr="00350989">
        <w:t xml:space="preserve">. </w:t>
      </w:r>
      <w:r w:rsidR="00EA2651" w:rsidRPr="00350989">
        <w:t>D</w:t>
      </w:r>
      <w:r w:rsidRPr="00350989">
        <w:t>ata is</w:t>
      </w:r>
      <w:r w:rsidR="005A3FC7" w:rsidRPr="00350989">
        <w:t xml:space="preserve"> available from EU-SILC </w:t>
      </w:r>
      <w:r w:rsidR="00EA2651" w:rsidRPr="00350989">
        <w:t xml:space="preserve">(annually) </w:t>
      </w:r>
      <w:r w:rsidR="00C37551" w:rsidRPr="00350989">
        <w:t>as well as</w:t>
      </w:r>
      <w:r w:rsidR="005A3FC7" w:rsidRPr="00350989">
        <w:t xml:space="preserve"> the Eurostat Labour Force Survey ad-hoc </w:t>
      </w:r>
      <w:r w:rsidR="00C37551" w:rsidRPr="00350989">
        <w:t xml:space="preserve">disability </w:t>
      </w:r>
      <w:r w:rsidR="005A3FC7" w:rsidRPr="00350989">
        <w:t>module</w:t>
      </w:r>
      <w:r w:rsidR="00D939BF" w:rsidRPr="00350989">
        <w:t xml:space="preserve"> (for 2011)</w:t>
      </w:r>
      <w:r w:rsidR="005A3FC7" w:rsidRPr="00350989">
        <w:t>, but with low reliability for several countries</w:t>
      </w:r>
      <w:r w:rsidR="007D6A67" w:rsidRPr="00350989">
        <w:t xml:space="preserve"> on the key measures</w:t>
      </w:r>
      <w:r w:rsidR="005A3FC7" w:rsidRPr="00350989">
        <w:t>.</w:t>
      </w:r>
      <w:r w:rsidR="005A3FC7" w:rsidRPr="00350989">
        <w:rPr>
          <w:rStyle w:val="FootnoteReference"/>
        </w:rPr>
        <w:footnoteReference w:id="16"/>
      </w:r>
      <w:r w:rsidR="005A3FC7" w:rsidRPr="00350989">
        <w:t xml:space="preserve"> </w:t>
      </w:r>
      <w:r w:rsidR="00837BCB" w:rsidRPr="00350989">
        <w:t>Using</w:t>
      </w:r>
      <w:r w:rsidR="00E42735" w:rsidRPr="00350989">
        <w:t xml:space="preserve"> </w:t>
      </w:r>
      <w:r w:rsidR="00512FB4" w:rsidRPr="00350989">
        <w:t xml:space="preserve">a </w:t>
      </w:r>
      <w:r w:rsidR="00E42735" w:rsidRPr="00350989">
        <w:t xml:space="preserve">wider age range can </w:t>
      </w:r>
      <w:r w:rsidR="00837BCB" w:rsidRPr="00350989">
        <w:t>improve</w:t>
      </w:r>
      <w:r w:rsidR="00E42735" w:rsidRPr="00350989">
        <w:t xml:space="preserve"> reliability but e</w:t>
      </w:r>
      <w:r w:rsidR="00CF18F1" w:rsidRPr="00350989">
        <w:t>stimations by gender</w:t>
      </w:r>
      <w:r w:rsidR="00152FE0" w:rsidRPr="00350989">
        <w:t xml:space="preserve"> </w:t>
      </w:r>
      <w:r w:rsidR="00837BCB" w:rsidRPr="00350989">
        <w:t>remain</w:t>
      </w:r>
      <w:r w:rsidR="00ED4CF4" w:rsidRPr="00350989">
        <w:t xml:space="preserve"> </w:t>
      </w:r>
      <w:r w:rsidR="00CF18F1" w:rsidRPr="00350989">
        <w:lastRenderedPageBreak/>
        <w:t xml:space="preserve">indicative. </w:t>
      </w:r>
      <w:r w:rsidR="00ED4CF4" w:rsidRPr="00350989">
        <w:t xml:space="preserve">EU trends are evident but </w:t>
      </w:r>
      <w:r w:rsidR="007D6A67" w:rsidRPr="00350989">
        <w:t xml:space="preserve">administrative </w:t>
      </w:r>
      <w:r w:rsidRPr="00350989">
        <w:t xml:space="preserve">data may offer </w:t>
      </w:r>
      <w:r w:rsidR="00AB469B" w:rsidRPr="00350989">
        <w:t>more reliable</w:t>
      </w:r>
      <w:r w:rsidR="000F657B" w:rsidRPr="00350989">
        <w:t xml:space="preserve"> </w:t>
      </w:r>
      <w:r w:rsidRPr="00350989">
        <w:t>alternatives</w:t>
      </w:r>
      <w:r w:rsidR="00152FE0" w:rsidRPr="00350989">
        <w:t xml:space="preserve"> </w:t>
      </w:r>
      <w:r w:rsidR="00C21840" w:rsidRPr="00350989">
        <w:t>to identify</w:t>
      </w:r>
      <w:r w:rsidR="00152FE0" w:rsidRPr="00350989">
        <w:t xml:space="preserve"> national trends</w:t>
      </w:r>
      <w:r w:rsidR="00C21840" w:rsidRPr="00350989">
        <w:t>, where available</w:t>
      </w:r>
      <w:r w:rsidR="005A3FC7" w:rsidRPr="00350989">
        <w:t>.</w:t>
      </w:r>
    </w:p>
    <w:p w14:paraId="1AEB0670" w14:textId="77777777" w:rsidR="00B87D1F" w:rsidRPr="00350989" w:rsidRDefault="00B87D1F" w:rsidP="000D7F61">
      <w:pPr>
        <w:pStyle w:val="BodyText"/>
        <w:spacing w:after="0"/>
      </w:pPr>
    </w:p>
    <w:p w14:paraId="4562C86F" w14:textId="77777777" w:rsidR="00561FF5" w:rsidRPr="00350989" w:rsidRDefault="00561FF5" w:rsidP="00D126EE">
      <w:pPr>
        <w:pStyle w:val="Heading3"/>
        <w:rPr>
          <w:lang w:val="en-GB"/>
        </w:rPr>
      </w:pPr>
      <w:bookmarkStart w:id="17" w:name="_Toc440298952"/>
      <w:bookmarkStart w:id="18" w:name="_Toc483409959"/>
      <w:r w:rsidRPr="00350989">
        <w:rPr>
          <w:lang w:val="en-GB"/>
        </w:rPr>
        <w:t>Early school leavers</w:t>
      </w:r>
      <w:bookmarkEnd w:id="17"/>
      <w:bookmarkEnd w:id="18"/>
    </w:p>
    <w:p w14:paraId="79B02AAE" w14:textId="77777777" w:rsidR="00B87D1F" w:rsidRPr="00350989" w:rsidRDefault="00B87D1F" w:rsidP="000D7F61">
      <w:pPr>
        <w:pStyle w:val="BodyText"/>
        <w:spacing w:after="0"/>
      </w:pPr>
    </w:p>
    <w:p w14:paraId="766245AD" w14:textId="0DAE0CE9" w:rsidR="00855CD2" w:rsidRPr="00350989" w:rsidRDefault="00855CD2" w:rsidP="000D7F61">
      <w:pPr>
        <w:spacing w:after="0"/>
      </w:pPr>
      <w:r w:rsidRPr="00350989">
        <w:t>The EU-SILC sample for the target age group (aged 18-24) includes the following number of people reporting activity ‘limitation’ (as a proxy for impairment/disability).</w:t>
      </w:r>
    </w:p>
    <w:p w14:paraId="6931F985" w14:textId="77777777" w:rsidR="00444FE8" w:rsidRPr="00350989" w:rsidRDefault="00444FE8" w:rsidP="000D7F61">
      <w:pPr>
        <w:spacing w:after="0"/>
      </w:pPr>
    </w:p>
    <w:p w14:paraId="3317F06A" w14:textId="77777777" w:rsidR="00855CD2" w:rsidRPr="00350989" w:rsidRDefault="00855CD2" w:rsidP="000D7F61">
      <w:pPr>
        <w:spacing w:after="0"/>
        <w:rPr>
          <w:b/>
          <w:bCs/>
        </w:rPr>
      </w:pPr>
      <w:r w:rsidRPr="00350989">
        <w:rPr>
          <w:b/>
          <w:bCs/>
        </w:rPr>
        <w:t xml:space="preserve">Table </w:t>
      </w:r>
      <w:r w:rsidRPr="00350989">
        <w:rPr>
          <w:b/>
          <w:bCs/>
        </w:rPr>
        <w:fldChar w:fldCharType="begin"/>
      </w:r>
      <w:r w:rsidRPr="00350989">
        <w:rPr>
          <w:b/>
          <w:bCs/>
        </w:rPr>
        <w:instrText xml:space="preserve"> SEQ Table \* ARABIC </w:instrText>
      </w:r>
      <w:r w:rsidRPr="00350989">
        <w:rPr>
          <w:b/>
          <w:bCs/>
        </w:rPr>
        <w:fldChar w:fldCharType="separate"/>
      </w:r>
      <w:r w:rsidRPr="00350989">
        <w:rPr>
          <w:b/>
          <w:bCs/>
          <w:noProof/>
        </w:rPr>
        <w:t>12</w:t>
      </w:r>
      <w:r w:rsidRPr="00350989">
        <w:rPr>
          <w:b/>
          <w:bCs/>
          <w:noProof/>
        </w:rPr>
        <w:fldChar w:fldCharType="end"/>
      </w:r>
      <w:r w:rsidRPr="00350989">
        <w:rPr>
          <w:b/>
          <w:bCs/>
        </w:rPr>
        <w:t>: EU-SILC sample size in the target age group 18-24 versus 18-29</w:t>
      </w:r>
    </w:p>
    <w:tbl>
      <w:tblPr>
        <w:tblStyle w:val="TableGrid1"/>
        <w:tblW w:w="0" w:type="auto"/>
        <w:tblLook w:val="04A0" w:firstRow="1" w:lastRow="0" w:firstColumn="1" w:lastColumn="0" w:noHBand="0" w:noVBand="1"/>
      </w:tblPr>
      <w:tblGrid>
        <w:gridCol w:w="1598"/>
        <w:gridCol w:w="2000"/>
        <w:gridCol w:w="1731"/>
        <w:gridCol w:w="2000"/>
        <w:gridCol w:w="1731"/>
      </w:tblGrid>
      <w:tr w:rsidR="00855CD2" w:rsidRPr="00350989" w14:paraId="4B35255B" w14:textId="77777777" w:rsidTr="00855CD2">
        <w:tc>
          <w:tcPr>
            <w:tcW w:w="0" w:type="auto"/>
          </w:tcPr>
          <w:p w14:paraId="386EE202" w14:textId="77777777" w:rsidR="00855CD2" w:rsidRPr="00350989" w:rsidRDefault="00855CD2" w:rsidP="000D7F61">
            <w:pPr>
              <w:spacing w:after="0"/>
              <w:rPr>
                <w:sz w:val="20"/>
              </w:rPr>
            </w:pPr>
          </w:p>
        </w:tc>
        <w:tc>
          <w:tcPr>
            <w:tcW w:w="0" w:type="auto"/>
            <w:gridSpan w:val="2"/>
          </w:tcPr>
          <w:p w14:paraId="10E135DB" w14:textId="77777777" w:rsidR="00855CD2" w:rsidRPr="00350989" w:rsidRDefault="00855CD2" w:rsidP="000D7F61">
            <w:pPr>
              <w:spacing w:after="0"/>
              <w:rPr>
                <w:sz w:val="20"/>
              </w:rPr>
            </w:pPr>
            <w:r w:rsidRPr="00350989">
              <w:rPr>
                <w:sz w:val="20"/>
              </w:rPr>
              <w:t>Age 18-24</w:t>
            </w:r>
          </w:p>
        </w:tc>
        <w:tc>
          <w:tcPr>
            <w:tcW w:w="0" w:type="auto"/>
            <w:gridSpan w:val="2"/>
          </w:tcPr>
          <w:p w14:paraId="2ADBBED8" w14:textId="77777777" w:rsidR="00855CD2" w:rsidRPr="00350989" w:rsidRDefault="00855CD2" w:rsidP="000D7F61">
            <w:pPr>
              <w:spacing w:after="0"/>
              <w:rPr>
                <w:sz w:val="20"/>
              </w:rPr>
            </w:pPr>
            <w:r w:rsidRPr="00350989">
              <w:rPr>
                <w:sz w:val="20"/>
              </w:rPr>
              <w:t>Age 18-29</w:t>
            </w:r>
          </w:p>
        </w:tc>
      </w:tr>
      <w:tr w:rsidR="00855CD2" w:rsidRPr="00350989" w14:paraId="7FB35A86" w14:textId="77777777" w:rsidTr="00855CD2">
        <w:tc>
          <w:tcPr>
            <w:tcW w:w="0" w:type="auto"/>
          </w:tcPr>
          <w:p w14:paraId="50E6F970" w14:textId="77777777" w:rsidR="00855CD2" w:rsidRPr="00350989" w:rsidRDefault="00855CD2" w:rsidP="000D7F61">
            <w:pPr>
              <w:spacing w:after="0"/>
              <w:rPr>
                <w:sz w:val="20"/>
              </w:rPr>
            </w:pPr>
          </w:p>
        </w:tc>
        <w:tc>
          <w:tcPr>
            <w:tcW w:w="0" w:type="auto"/>
          </w:tcPr>
          <w:p w14:paraId="47FC0E4F" w14:textId="77777777" w:rsidR="00855CD2" w:rsidRPr="00350989" w:rsidRDefault="00855CD2" w:rsidP="000D7F61">
            <w:pPr>
              <w:spacing w:after="0"/>
              <w:rPr>
                <w:sz w:val="20"/>
              </w:rPr>
            </w:pPr>
            <w:r w:rsidRPr="00350989">
              <w:rPr>
                <w:sz w:val="20"/>
              </w:rPr>
              <w:t>No activity ‘limitation’</w:t>
            </w:r>
          </w:p>
        </w:tc>
        <w:tc>
          <w:tcPr>
            <w:tcW w:w="0" w:type="auto"/>
          </w:tcPr>
          <w:p w14:paraId="2BBDD7A0" w14:textId="77777777" w:rsidR="00855CD2" w:rsidRPr="00350989" w:rsidRDefault="00855CD2" w:rsidP="000D7F61">
            <w:pPr>
              <w:spacing w:after="0"/>
              <w:rPr>
                <w:sz w:val="20"/>
              </w:rPr>
            </w:pPr>
            <w:r w:rsidRPr="00350989">
              <w:rPr>
                <w:sz w:val="20"/>
              </w:rPr>
              <w:t>Activity ‘limitation’</w:t>
            </w:r>
          </w:p>
        </w:tc>
        <w:tc>
          <w:tcPr>
            <w:tcW w:w="0" w:type="auto"/>
          </w:tcPr>
          <w:p w14:paraId="2D05D052" w14:textId="77777777" w:rsidR="00855CD2" w:rsidRPr="00350989" w:rsidRDefault="00855CD2" w:rsidP="000D7F61">
            <w:pPr>
              <w:spacing w:after="0"/>
              <w:rPr>
                <w:sz w:val="20"/>
              </w:rPr>
            </w:pPr>
            <w:r w:rsidRPr="00350989">
              <w:rPr>
                <w:sz w:val="20"/>
              </w:rPr>
              <w:t>No activity ‘limitation’</w:t>
            </w:r>
          </w:p>
        </w:tc>
        <w:tc>
          <w:tcPr>
            <w:tcW w:w="0" w:type="auto"/>
          </w:tcPr>
          <w:p w14:paraId="5315A04C" w14:textId="77777777" w:rsidR="00855CD2" w:rsidRPr="00350989" w:rsidRDefault="00855CD2" w:rsidP="000D7F61">
            <w:pPr>
              <w:spacing w:after="0"/>
              <w:rPr>
                <w:sz w:val="20"/>
              </w:rPr>
            </w:pPr>
            <w:r w:rsidRPr="00350989">
              <w:rPr>
                <w:sz w:val="20"/>
              </w:rPr>
              <w:t>Activity ‘limitation’</w:t>
            </w:r>
          </w:p>
        </w:tc>
      </w:tr>
      <w:tr w:rsidR="00855CD2" w:rsidRPr="00350989" w14:paraId="577B29D2" w14:textId="77777777" w:rsidTr="00855CD2">
        <w:tc>
          <w:tcPr>
            <w:tcW w:w="0" w:type="auto"/>
          </w:tcPr>
          <w:p w14:paraId="1EA4BB7F" w14:textId="77777777" w:rsidR="00855CD2" w:rsidRPr="00350989" w:rsidRDefault="00855CD2" w:rsidP="000D7F61">
            <w:pPr>
              <w:spacing w:after="0"/>
              <w:rPr>
                <w:sz w:val="20"/>
              </w:rPr>
            </w:pPr>
            <w:r w:rsidRPr="00350989">
              <w:rPr>
                <w:sz w:val="20"/>
              </w:rPr>
              <w:t>EU sample</w:t>
            </w:r>
          </w:p>
        </w:tc>
        <w:tc>
          <w:tcPr>
            <w:tcW w:w="0" w:type="auto"/>
          </w:tcPr>
          <w:p w14:paraId="30B9B182" w14:textId="77777777" w:rsidR="00855CD2" w:rsidRPr="00350989" w:rsidRDefault="00855CD2" w:rsidP="000D7F61">
            <w:pPr>
              <w:spacing w:after="0"/>
              <w:rPr>
                <w:sz w:val="20"/>
              </w:rPr>
            </w:pPr>
            <w:r w:rsidRPr="00350989">
              <w:rPr>
                <w:sz w:val="20"/>
              </w:rPr>
              <w:t>33,905</w:t>
            </w:r>
          </w:p>
        </w:tc>
        <w:tc>
          <w:tcPr>
            <w:tcW w:w="0" w:type="auto"/>
          </w:tcPr>
          <w:p w14:paraId="5EDB8ECF" w14:textId="77777777" w:rsidR="00855CD2" w:rsidRPr="00350989" w:rsidRDefault="00855CD2" w:rsidP="000D7F61">
            <w:pPr>
              <w:spacing w:after="0"/>
              <w:rPr>
                <w:sz w:val="20"/>
              </w:rPr>
            </w:pPr>
            <w:r w:rsidRPr="00350989">
              <w:rPr>
                <w:sz w:val="20"/>
              </w:rPr>
              <w:t>2,608</w:t>
            </w:r>
          </w:p>
        </w:tc>
        <w:tc>
          <w:tcPr>
            <w:tcW w:w="0" w:type="auto"/>
          </w:tcPr>
          <w:p w14:paraId="28027916" w14:textId="77777777" w:rsidR="00855CD2" w:rsidRPr="00350989" w:rsidRDefault="00855CD2" w:rsidP="000D7F61">
            <w:pPr>
              <w:spacing w:after="0"/>
              <w:rPr>
                <w:sz w:val="20"/>
              </w:rPr>
            </w:pPr>
            <w:r w:rsidRPr="00350989">
              <w:rPr>
                <w:sz w:val="20"/>
              </w:rPr>
              <w:t>56,110</w:t>
            </w:r>
          </w:p>
        </w:tc>
        <w:tc>
          <w:tcPr>
            <w:tcW w:w="0" w:type="auto"/>
          </w:tcPr>
          <w:p w14:paraId="01EC0B53" w14:textId="77777777" w:rsidR="00855CD2" w:rsidRPr="00350989" w:rsidRDefault="00855CD2" w:rsidP="000D7F61">
            <w:pPr>
              <w:spacing w:after="0"/>
              <w:rPr>
                <w:sz w:val="20"/>
              </w:rPr>
            </w:pPr>
            <w:r w:rsidRPr="00350989">
              <w:rPr>
                <w:sz w:val="20"/>
              </w:rPr>
              <w:t>4,738</w:t>
            </w:r>
          </w:p>
        </w:tc>
      </w:tr>
      <w:tr w:rsidR="00855CD2" w:rsidRPr="00350989" w14:paraId="274B8F14" w14:textId="77777777" w:rsidTr="00855CD2">
        <w:tc>
          <w:tcPr>
            <w:tcW w:w="0" w:type="auto"/>
          </w:tcPr>
          <w:p w14:paraId="2B003FC0" w14:textId="77777777" w:rsidR="00855CD2" w:rsidRPr="00350989" w:rsidRDefault="00855CD2" w:rsidP="000D7F61">
            <w:pPr>
              <w:spacing w:after="0"/>
              <w:rPr>
                <w:sz w:val="20"/>
              </w:rPr>
            </w:pPr>
            <w:r w:rsidRPr="00350989">
              <w:rPr>
                <w:sz w:val="20"/>
              </w:rPr>
              <w:t>National sample</w:t>
            </w:r>
          </w:p>
        </w:tc>
        <w:tc>
          <w:tcPr>
            <w:tcW w:w="0" w:type="auto"/>
          </w:tcPr>
          <w:p w14:paraId="439A66CA" w14:textId="77777777" w:rsidR="00855CD2" w:rsidRPr="00350989" w:rsidRDefault="00855CD2" w:rsidP="000D7F61">
            <w:pPr>
              <w:spacing w:after="0"/>
              <w:rPr>
                <w:sz w:val="20"/>
              </w:rPr>
            </w:pPr>
            <w:r w:rsidRPr="00350989">
              <w:rPr>
                <w:sz w:val="20"/>
              </w:rPr>
              <w:t>1,165</w:t>
            </w:r>
          </w:p>
        </w:tc>
        <w:tc>
          <w:tcPr>
            <w:tcW w:w="0" w:type="auto"/>
          </w:tcPr>
          <w:p w14:paraId="15663C83" w14:textId="77777777" w:rsidR="00855CD2" w:rsidRPr="00350989" w:rsidRDefault="00855CD2" w:rsidP="000D7F61">
            <w:pPr>
              <w:spacing w:after="0"/>
              <w:rPr>
                <w:sz w:val="20"/>
              </w:rPr>
            </w:pPr>
            <w:r w:rsidRPr="00350989">
              <w:rPr>
                <w:sz w:val="20"/>
              </w:rPr>
              <w:t>58</w:t>
            </w:r>
          </w:p>
        </w:tc>
        <w:tc>
          <w:tcPr>
            <w:tcW w:w="0" w:type="auto"/>
          </w:tcPr>
          <w:p w14:paraId="0E2C1B00" w14:textId="77777777" w:rsidR="00855CD2" w:rsidRPr="00350989" w:rsidRDefault="00855CD2" w:rsidP="000D7F61">
            <w:pPr>
              <w:spacing w:after="0"/>
              <w:rPr>
                <w:sz w:val="20"/>
              </w:rPr>
            </w:pPr>
            <w:r w:rsidRPr="00350989">
              <w:rPr>
                <w:sz w:val="20"/>
              </w:rPr>
              <w:t>1,938</w:t>
            </w:r>
          </w:p>
        </w:tc>
        <w:tc>
          <w:tcPr>
            <w:tcW w:w="0" w:type="auto"/>
          </w:tcPr>
          <w:p w14:paraId="4D148553" w14:textId="77777777" w:rsidR="00855CD2" w:rsidRPr="00350989" w:rsidRDefault="00855CD2" w:rsidP="000D7F61">
            <w:pPr>
              <w:spacing w:after="0"/>
              <w:rPr>
                <w:sz w:val="20"/>
              </w:rPr>
            </w:pPr>
            <w:r w:rsidRPr="00350989">
              <w:rPr>
                <w:sz w:val="20"/>
              </w:rPr>
              <w:t>111</w:t>
            </w:r>
          </w:p>
        </w:tc>
      </w:tr>
    </w:tbl>
    <w:p w14:paraId="18BCC883" w14:textId="77777777" w:rsidR="00855CD2" w:rsidRPr="00350989" w:rsidRDefault="00855CD2" w:rsidP="000D7F61">
      <w:pPr>
        <w:spacing w:after="0"/>
        <w:rPr>
          <w:i/>
          <w:lang w:eastAsia="en-GB"/>
        </w:rPr>
      </w:pPr>
      <w:r w:rsidRPr="00350989">
        <w:rPr>
          <w:i/>
          <w:sz w:val="20"/>
        </w:rPr>
        <w:t xml:space="preserve">Source: </w:t>
      </w:r>
      <w:r w:rsidRPr="00350989">
        <w:rPr>
          <w:i/>
          <w:sz w:val="20"/>
          <w:lang w:eastAsia="en-GB"/>
        </w:rPr>
        <w:t>EUSILC UDB 2014 – version 2 of August 2016</w:t>
      </w:r>
    </w:p>
    <w:p w14:paraId="1D64FFB1" w14:textId="77777777" w:rsidR="00855CD2" w:rsidRPr="00350989" w:rsidRDefault="00855CD2" w:rsidP="000D7F61">
      <w:pPr>
        <w:spacing w:after="0"/>
      </w:pPr>
    </w:p>
    <w:p w14:paraId="46B1E252" w14:textId="77777777" w:rsidR="00855CD2" w:rsidRPr="00350989" w:rsidRDefault="00855CD2" w:rsidP="000D7F61">
      <w:pPr>
        <w:spacing w:after="0"/>
        <w:rPr>
          <w:b/>
          <w:bCs/>
        </w:rPr>
      </w:pPr>
      <w:r w:rsidRPr="00350989">
        <w:rPr>
          <w:b/>
          <w:bCs/>
        </w:rPr>
        <w:t xml:space="preserve">Table </w:t>
      </w:r>
      <w:r w:rsidRPr="00350989">
        <w:rPr>
          <w:b/>
          <w:bCs/>
        </w:rPr>
        <w:fldChar w:fldCharType="begin"/>
      </w:r>
      <w:r w:rsidRPr="00350989">
        <w:rPr>
          <w:b/>
          <w:bCs/>
        </w:rPr>
        <w:instrText xml:space="preserve"> SEQ Table \* ARABIC </w:instrText>
      </w:r>
      <w:r w:rsidRPr="00350989">
        <w:rPr>
          <w:b/>
          <w:bCs/>
        </w:rPr>
        <w:fldChar w:fldCharType="separate"/>
      </w:r>
      <w:r w:rsidRPr="00350989">
        <w:rPr>
          <w:b/>
          <w:bCs/>
          <w:noProof/>
        </w:rPr>
        <w:t>13</w:t>
      </w:r>
      <w:r w:rsidRPr="00350989">
        <w:rPr>
          <w:b/>
          <w:bCs/>
          <w:noProof/>
        </w:rPr>
        <w:fldChar w:fldCharType="end"/>
      </w:r>
      <w:r w:rsidRPr="00350989">
        <w:rPr>
          <w:b/>
          <w:bCs/>
        </w:rPr>
        <w:t xml:space="preserve">: </w:t>
      </w:r>
      <w:r w:rsidRPr="00350989">
        <w:rPr>
          <w:b/>
          <w:bCs/>
          <w:noProof/>
        </w:rPr>
        <w:t>Early school leavers aged 18-24 (indicative based on above sample size)</w:t>
      </w:r>
    </w:p>
    <w:p w14:paraId="31444665" w14:textId="77777777" w:rsidR="00855CD2" w:rsidRPr="00350989" w:rsidRDefault="00855CD2" w:rsidP="000D7F61">
      <w:pPr>
        <w:spacing w:after="0"/>
      </w:pPr>
      <w:r w:rsidRPr="00350989">
        <w:rPr>
          <w:noProof/>
          <w:lang w:val="nl-NL" w:eastAsia="nl-NL"/>
        </w:rPr>
        <w:drawing>
          <wp:inline distT="0" distB="0" distL="0" distR="0" wp14:anchorId="0CE52E29" wp14:editId="4F2898EF">
            <wp:extent cx="5486400" cy="2364059"/>
            <wp:effectExtent l="0" t="0" r="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C36327D" w14:textId="01D77936" w:rsidR="00855CD2" w:rsidRPr="00350989" w:rsidRDefault="00855CD2" w:rsidP="00D126EE">
      <w:pPr>
        <w:spacing w:after="0"/>
        <w:rPr>
          <w:i/>
          <w:sz w:val="20"/>
          <w:lang w:eastAsia="en-GB"/>
        </w:rPr>
      </w:pPr>
      <w:r w:rsidRPr="00350989">
        <w:rPr>
          <w:i/>
          <w:sz w:val="20"/>
        </w:rPr>
        <w:t xml:space="preserve">Source: </w:t>
      </w:r>
      <w:r w:rsidRPr="00350989">
        <w:rPr>
          <w:i/>
          <w:sz w:val="20"/>
          <w:lang w:eastAsia="en-GB"/>
        </w:rPr>
        <w:t>EUSILC UDB 2014 – version 2 of August 2</w:t>
      </w:r>
      <w:r w:rsidR="00D126EE" w:rsidRPr="00350989">
        <w:rPr>
          <w:i/>
          <w:sz w:val="20"/>
          <w:lang w:eastAsia="en-GB"/>
        </w:rPr>
        <w:t>016</w:t>
      </w:r>
    </w:p>
    <w:p w14:paraId="763BDF77" w14:textId="77777777" w:rsidR="00855CD2" w:rsidRPr="00350989" w:rsidRDefault="00855CD2" w:rsidP="000D7F61">
      <w:pPr>
        <w:pStyle w:val="Un-numberedsubheading"/>
        <w:spacing w:after="0"/>
        <w:rPr>
          <w:rFonts w:cs="Arial"/>
          <w:sz w:val="24"/>
          <w:szCs w:val="24"/>
          <w:lang w:val="en-GB"/>
        </w:rPr>
      </w:pPr>
    </w:p>
    <w:p w14:paraId="71F8D462" w14:textId="77777777" w:rsidR="00AC1131" w:rsidRPr="00350989" w:rsidRDefault="00AC1131" w:rsidP="000D7F61">
      <w:pPr>
        <w:pStyle w:val="Un-numberedsubheading"/>
        <w:spacing w:after="0"/>
        <w:rPr>
          <w:rFonts w:cs="Arial"/>
          <w:sz w:val="24"/>
          <w:szCs w:val="24"/>
          <w:lang w:val="en-GB"/>
        </w:rPr>
      </w:pPr>
      <w:r w:rsidRPr="00350989">
        <w:rPr>
          <w:rFonts w:cs="Arial"/>
          <w:sz w:val="24"/>
          <w:szCs w:val="24"/>
          <w:lang w:val="en-GB"/>
        </w:rPr>
        <w:t xml:space="preserve">Alternative data on disability and early school leavers </w:t>
      </w:r>
      <w:r w:rsidR="00803568" w:rsidRPr="00350989">
        <w:rPr>
          <w:rFonts w:cs="Arial"/>
          <w:sz w:val="24"/>
          <w:szCs w:val="24"/>
          <w:lang w:val="en-GB"/>
        </w:rPr>
        <w:t>provided by the national expert</w:t>
      </w:r>
      <w:r w:rsidRPr="00350989">
        <w:rPr>
          <w:rFonts w:cs="Arial"/>
          <w:sz w:val="24"/>
          <w:szCs w:val="24"/>
          <w:lang w:val="en-GB"/>
        </w:rPr>
        <w:t>:</w:t>
      </w:r>
    </w:p>
    <w:p w14:paraId="71F8B30D" w14:textId="77777777" w:rsidR="00B87D1F" w:rsidRPr="00350989" w:rsidRDefault="00B87D1F" w:rsidP="000D7F61">
      <w:pPr>
        <w:pStyle w:val="Un-numberedsubheading"/>
        <w:spacing w:after="0"/>
        <w:rPr>
          <w:rFonts w:cs="Arial"/>
          <w:sz w:val="24"/>
          <w:szCs w:val="24"/>
          <w:lang w:val="en-GB"/>
        </w:rPr>
      </w:pPr>
    </w:p>
    <w:p w14:paraId="6CF9F8E0" w14:textId="77777777" w:rsidR="001B09D7" w:rsidRPr="00350989" w:rsidRDefault="00F5599F" w:rsidP="000D7F61">
      <w:pPr>
        <w:spacing w:after="0"/>
      </w:pPr>
      <w:r w:rsidRPr="00350989">
        <w:t>There are</w:t>
      </w:r>
      <w:r w:rsidR="00E274B3" w:rsidRPr="00350989">
        <w:t xml:space="preserve"> no alternative data </w:t>
      </w:r>
      <w:r w:rsidR="002E6E29" w:rsidRPr="00350989">
        <w:t xml:space="preserve">specifically </w:t>
      </w:r>
      <w:r w:rsidR="00E274B3" w:rsidRPr="00350989">
        <w:t>on disability and school leavers available from national sources. No such data are included in the Ministry of Education Annual Reports</w:t>
      </w:r>
      <w:r w:rsidR="00B87D1F" w:rsidRPr="00350989">
        <w:t>.</w:t>
      </w:r>
      <w:r w:rsidR="002E6E29" w:rsidRPr="00350989">
        <w:t xml:space="preserve"> </w:t>
      </w:r>
    </w:p>
    <w:p w14:paraId="4CCD8CA8" w14:textId="77777777" w:rsidR="00B87D1F" w:rsidRPr="00350989" w:rsidRDefault="00B87D1F" w:rsidP="000D7F61">
      <w:pPr>
        <w:spacing w:after="0"/>
      </w:pPr>
    </w:p>
    <w:p w14:paraId="0499D670" w14:textId="77777777" w:rsidR="00561FF5" w:rsidRPr="00350989" w:rsidRDefault="00561FF5" w:rsidP="00D126EE">
      <w:pPr>
        <w:pStyle w:val="Heading3"/>
        <w:rPr>
          <w:lang w:val="en-GB"/>
        </w:rPr>
      </w:pPr>
      <w:bookmarkStart w:id="19" w:name="_Toc440298953"/>
      <w:bookmarkStart w:id="20" w:name="_Toc483409960"/>
      <w:r w:rsidRPr="00350989">
        <w:rPr>
          <w:lang w:val="en-GB"/>
        </w:rPr>
        <w:t>Tertiary education</w:t>
      </w:r>
      <w:bookmarkEnd w:id="19"/>
      <w:bookmarkEnd w:id="20"/>
    </w:p>
    <w:p w14:paraId="1CC42C27" w14:textId="77777777" w:rsidR="00B87D1F" w:rsidRPr="00350989" w:rsidRDefault="00B87D1F" w:rsidP="000D7F61">
      <w:pPr>
        <w:spacing w:after="0"/>
        <w:rPr>
          <w:b/>
          <w:bCs/>
        </w:rPr>
      </w:pPr>
    </w:p>
    <w:p w14:paraId="2CDEA71D" w14:textId="523B5CAA" w:rsidR="00855CD2" w:rsidRPr="00350989" w:rsidRDefault="00855CD2" w:rsidP="000D7F61">
      <w:pPr>
        <w:spacing w:after="0"/>
      </w:pPr>
      <w:r w:rsidRPr="00350989">
        <w:t>The EU-SILC sample for the target age group (aged 30-34) includes the following number of people reporting activity ‘limitation’ (a proxy for impairment/disability) although the number of missing observations is larger than the number of observations for activity limitation.</w:t>
      </w:r>
    </w:p>
    <w:p w14:paraId="4A5EDA0C" w14:textId="77777777" w:rsidR="00D126EE" w:rsidRPr="00350989" w:rsidRDefault="00D126EE" w:rsidP="000D7F61">
      <w:pPr>
        <w:spacing w:after="0"/>
      </w:pPr>
    </w:p>
    <w:p w14:paraId="721ACCCC" w14:textId="77777777" w:rsidR="00BA68F1" w:rsidRPr="00350989" w:rsidRDefault="00BA68F1">
      <w:pPr>
        <w:spacing w:after="0"/>
        <w:rPr>
          <w:b/>
          <w:bCs/>
        </w:rPr>
      </w:pPr>
      <w:r w:rsidRPr="00350989">
        <w:rPr>
          <w:b/>
          <w:bCs/>
        </w:rPr>
        <w:br w:type="page"/>
      </w:r>
    </w:p>
    <w:p w14:paraId="74BDE04B" w14:textId="3B316C76" w:rsidR="00855CD2" w:rsidRPr="00350989" w:rsidRDefault="00855CD2" w:rsidP="000D7F61">
      <w:pPr>
        <w:spacing w:after="0"/>
        <w:rPr>
          <w:b/>
          <w:bCs/>
        </w:rPr>
      </w:pPr>
      <w:r w:rsidRPr="00350989">
        <w:rPr>
          <w:b/>
          <w:bCs/>
        </w:rPr>
        <w:lastRenderedPageBreak/>
        <w:t xml:space="preserve">Table </w:t>
      </w:r>
      <w:r w:rsidRPr="00350989">
        <w:rPr>
          <w:b/>
          <w:bCs/>
        </w:rPr>
        <w:fldChar w:fldCharType="begin"/>
      </w:r>
      <w:r w:rsidRPr="00350989">
        <w:rPr>
          <w:b/>
          <w:bCs/>
        </w:rPr>
        <w:instrText xml:space="preserve"> SEQ Table \* ARABIC </w:instrText>
      </w:r>
      <w:r w:rsidRPr="00350989">
        <w:rPr>
          <w:b/>
          <w:bCs/>
        </w:rPr>
        <w:fldChar w:fldCharType="separate"/>
      </w:r>
      <w:r w:rsidRPr="00350989">
        <w:rPr>
          <w:b/>
          <w:bCs/>
          <w:noProof/>
        </w:rPr>
        <w:t>14</w:t>
      </w:r>
      <w:r w:rsidRPr="00350989">
        <w:rPr>
          <w:b/>
          <w:bCs/>
          <w:noProof/>
        </w:rPr>
        <w:fldChar w:fldCharType="end"/>
      </w:r>
      <w:r w:rsidRPr="00350989">
        <w:rPr>
          <w:b/>
          <w:bCs/>
        </w:rPr>
        <w:t>: EU-SILC sample size for the target age group 30-34 versus 30-39</w:t>
      </w:r>
    </w:p>
    <w:tbl>
      <w:tblPr>
        <w:tblStyle w:val="TableGrid2"/>
        <w:tblW w:w="0" w:type="auto"/>
        <w:tblLook w:val="04A0" w:firstRow="1" w:lastRow="0" w:firstColumn="1" w:lastColumn="0" w:noHBand="0" w:noVBand="1"/>
      </w:tblPr>
      <w:tblGrid>
        <w:gridCol w:w="1598"/>
        <w:gridCol w:w="2000"/>
        <w:gridCol w:w="1731"/>
        <w:gridCol w:w="2000"/>
        <w:gridCol w:w="1731"/>
      </w:tblGrid>
      <w:tr w:rsidR="00855CD2" w:rsidRPr="00350989" w14:paraId="202EE35C" w14:textId="77777777" w:rsidTr="00855CD2">
        <w:tc>
          <w:tcPr>
            <w:tcW w:w="0" w:type="auto"/>
          </w:tcPr>
          <w:p w14:paraId="33529881" w14:textId="77777777" w:rsidR="00855CD2" w:rsidRPr="00350989" w:rsidRDefault="00855CD2" w:rsidP="000D7F61">
            <w:pPr>
              <w:spacing w:after="0"/>
              <w:rPr>
                <w:sz w:val="20"/>
              </w:rPr>
            </w:pPr>
          </w:p>
        </w:tc>
        <w:tc>
          <w:tcPr>
            <w:tcW w:w="0" w:type="auto"/>
            <w:gridSpan w:val="2"/>
          </w:tcPr>
          <w:p w14:paraId="02B15F10" w14:textId="77777777" w:rsidR="00855CD2" w:rsidRPr="00350989" w:rsidRDefault="00855CD2" w:rsidP="000D7F61">
            <w:pPr>
              <w:spacing w:after="0"/>
              <w:rPr>
                <w:sz w:val="20"/>
              </w:rPr>
            </w:pPr>
            <w:r w:rsidRPr="00350989">
              <w:rPr>
                <w:sz w:val="20"/>
              </w:rPr>
              <w:t>Age 30-34</w:t>
            </w:r>
          </w:p>
        </w:tc>
        <w:tc>
          <w:tcPr>
            <w:tcW w:w="0" w:type="auto"/>
            <w:gridSpan w:val="2"/>
          </w:tcPr>
          <w:p w14:paraId="6998A640" w14:textId="77777777" w:rsidR="00855CD2" w:rsidRPr="00350989" w:rsidRDefault="00855CD2" w:rsidP="000D7F61">
            <w:pPr>
              <w:spacing w:after="0"/>
              <w:rPr>
                <w:sz w:val="20"/>
              </w:rPr>
            </w:pPr>
            <w:r w:rsidRPr="00350989">
              <w:rPr>
                <w:sz w:val="20"/>
              </w:rPr>
              <w:t>Age 30-39</w:t>
            </w:r>
          </w:p>
        </w:tc>
      </w:tr>
      <w:tr w:rsidR="00855CD2" w:rsidRPr="00350989" w14:paraId="6C76E886" w14:textId="77777777" w:rsidTr="00855CD2">
        <w:tc>
          <w:tcPr>
            <w:tcW w:w="0" w:type="auto"/>
          </w:tcPr>
          <w:p w14:paraId="41D4FF70" w14:textId="77777777" w:rsidR="00855CD2" w:rsidRPr="00350989" w:rsidRDefault="00855CD2" w:rsidP="000D7F61">
            <w:pPr>
              <w:spacing w:after="0"/>
              <w:rPr>
                <w:sz w:val="20"/>
              </w:rPr>
            </w:pPr>
          </w:p>
        </w:tc>
        <w:tc>
          <w:tcPr>
            <w:tcW w:w="0" w:type="auto"/>
          </w:tcPr>
          <w:p w14:paraId="23583C50" w14:textId="77777777" w:rsidR="00855CD2" w:rsidRPr="00350989" w:rsidRDefault="00855CD2" w:rsidP="000D7F61">
            <w:pPr>
              <w:spacing w:after="0"/>
              <w:rPr>
                <w:sz w:val="20"/>
              </w:rPr>
            </w:pPr>
            <w:r w:rsidRPr="00350989">
              <w:rPr>
                <w:sz w:val="20"/>
              </w:rPr>
              <w:t>No activity ‘limitation’</w:t>
            </w:r>
          </w:p>
        </w:tc>
        <w:tc>
          <w:tcPr>
            <w:tcW w:w="0" w:type="auto"/>
          </w:tcPr>
          <w:p w14:paraId="0B0E8DA0" w14:textId="77777777" w:rsidR="00855CD2" w:rsidRPr="00350989" w:rsidRDefault="00855CD2" w:rsidP="000D7F61">
            <w:pPr>
              <w:spacing w:after="0"/>
              <w:rPr>
                <w:sz w:val="20"/>
              </w:rPr>
            </w:pPr>
            <w:r w:rsidRPr="00350989">
              <w:rPr>
                <w:sz w:val="20"/>
              </w:rPr>
              <w:t>Activity ‘limitation’</w:t>
            </w:r>
          </w:p>
        </w:tc>
        <w:tc>
          <w:tcPr>
            <w:tcW w:w="0" w:type="auto"/>
          </w:tcPr>
          <w:p w14:paraId="485BEE51" w14:textId="77777777" w:rsidR="00855CD2" w:rsidRPr="00350989" w:rsidRDefault="00855CD2" w:rsidP="000D7F61">
            <w:pPr>
              <w:spacing w:after="0"/>
              <w:rPr>
                <w:sz w:val="20"/>
              </w:rPr>
            </w:pPr>
            <w:r w:rsidRPr="00350989">
              <w:rPr>
                <w:sz w:val="20"/>
              </w:rPr>
              <w:t>No activity ‘limitation’</w:t>
            </w:r>
          </w:p>
        </w:tc>
        <w:tc>
          <w:tcPr>
            <w:tcW w:w="0" w:type="auto"/>
          </w:tcPr>
          <w:p w14:paraId="09D2864D" w14:textId="77777777" w:rsidR="00855CD2" w:rsidRPr="00350989" w:rsidRDefault="00855CD2" w:rsidP="000D7F61">
            <w:pPr>
              <w:spacing w:after="0"/>
              <w:rPr>
                <w:sz w:val="20"/>
              </w:rPr>
            </w:pPr>
            <w:r w:rsidRPr="00350989">
              <w:rPr>
                <w:sz w:val="20"/>
              </w:rPr>
              <w:t>Activity ‘limitation’</w:t>
            </w:r>
          </w:p>
        </w:tc>
      </w:tr>
      <w:tr w:rsidR="00855CD2" w:rsidRPr="00350989" w14:paraId="1FF407D3" w14:textId="77777777" w:rsidTr="00855CD2">
        <w:tc>
          <w:tcPr>
            <w:tcW w:w="0" w:type="auto"/>
          </w:tcPr>
          <w:p w14:paraId="28C3517F" w14:textId="77777777" w:rsidR="00855CD2" w:rsidRPr="00350989" w:rsidRDefault="00855CD2" w:rsidP="000D7F61">
            <w:pPr>
              <w:spacing w:after="0"/>
              <w:rPr>
                <w:sz w:val="20"/>
              </w:rPr>
            </w:pPr>
            <w:r w:rsidRPr="00350989">
              <w:rPr>
                <w:sz w:val="20"/>
              </w:rPr>
              <w:t>EU sample</w:t>
            </w:r>
          </w:p>
        </w:tc>
        <w:tc>
          <w:tcPr>
            <w:tcW w:w="0" w:type="auto"/>
          </w:tcPr>
          <w:p w14:paraId="681A2F81" w14:textId="77777777" w:rsidR="00855CD2" w:rsidRPr="00350989" w:rsidRDefault="00855CD2" w:rsidP="000D7F61">
            <w:pPr>
              <w:spacing w:after="0"/>
              <w:rPr>
                <w:sz w:val="20"/>
              </w:rPr>
            </w:pPr>
            <w:r w:rsidRPr="00350989">
              <w:rPr>
                <w:sz w:val="20"/>
              </w:rPr>
              <w:t>23,851</w:t>
            </w:r>
          </w:p>
        </w:tc>
        <w:tc>
          <w:tcPr>
            <w:tcW w:w="0" w:type="auto"/>
          </w:tcPr>
          <w:p w14:paraId="4F9D54CF" w14:textId="77777777" w:rsidR="00855CD2" w:rsidRPr="00350989" w:rsidRDefault="00855CD2" w:rsidP="000D7F61">
            <w:pPr>
              <w:spacing w:after="0"/>
              <w:rPr>
                <w:sz w:val="20"/>
              </w:rPr>
            </w:pPr>
            <w:r w:rsidRPr="00350989">
              <w:rPr>
                <w:sz w:val="20"/>
              </w:rPr>
              <w:t>2,866</w:t>
            </w:r>
          </w:p>
        </w:tc>
        <w:tc>
          <w:tcPr>
            <w:tcW w:w="0" w:type="auto"/>
          </w:tcPr>
          <w:p w14:paraId="61CB6715" w14:textId="77777777" w:rsidR="00855CD2" w:rsidRPr="00350989" w:rsidRDefault="00855CD2" w:rsidP="000D7F61">
            <w:pPr>
              <w:spacing w:after="0"/>
              <w:rPr>
                <w:sz w:val="20"/>
              </w:rPr>
            </w:pPr>
            <w:r w:rsidRPr="00350989">
              <w:rPr>
                <w:sz w:val="20"/>
              </w:rPr>
              <w:t>50,496</w:t>
            </w:r>
          </w:p>
        </w:tc>
        <w:tc>
          <w:tcPr>
            <w:tcW w:w="0" w:type="auto"/>
          </w:tcPr>
          <w:p w14:paraId="533E8152" w14:textId="77777777" w:rsidR="00855CD2" w:rsidRPr="00350989" w:rsidRDefault="00855CD2" w:rsidP="000D7F61">
            <w:pPr>
              <w:spacing w:after="0"/>
              <w:rPr>
                <w:sz w:val="20"/>
              </w:rPr>
            </w:pPr>
            <w:r w:rsidRPr="00350989">
              <w:rPr>
                <w:sz w:val="20"/>
              </w:rPr>
              <w:t>6,732</w:t>
            </w:r>
          </w:p>
        </w:tc>
      </w:tr>
      <w:tr w:rsidR="00855CD2" w:rsidRPr="00350989" w14:paraId="55E346FF" w14:textId="77777777" w:rsidTr="00855CD2">
        <w:tc>
          <w:tcPr>
            <w:tcW w:w="0" w:type="auto"/>
          </w:tcPr>
          <w:p w14:paraId="6FDCE5BE" w14:textId="77777777" w:rsidR="00855CD2" w:rsidRPr="00350989" w:rsidRDefault="00855CD2" w:rsidP="000D7F61">
            <w:pPr>
              <w:spacing w:after="0"/>
              <w:rPr>
                <w:sz w:val="20"/>
              </w:rPr>
            </w:pPr>
            <w:r w:rsidRPr="00350989">
              <w:rPr>
                <w:sz w:val="20"/>
              </w:rPr>
              <w:t>National sample</w:t>
            </w:r>
          </w:p>
        </w:tc>
        <w:tc>
          <w:tcPr>
            <w:tcW w:w="0" w:type="auto"/>
          </w:tcPr>
          <w:p w14:paraId="08669DCB" w14:textId="77777777" w:rsidR="00855CD2" w:rsidRPr="00350989" w:rsidRDefault="00855CD2" w:rsidP="000D7F61">
            <w:pPr>
              <w:tabs>
                <w:tab w:val="center" w:pos="898"/>
                <w:tab w:val="right" w:pos="1797"/>
              </w:tabs>
              <w:spacing w:after="0"/>
              <w:rPr>
                <w:sz w:val="20"/>
              </w:rPr>
            </w:pPr>
            <w:r w:rsidRPr="00350989">
              <w:rPr>
                <w:sz w:val="20"/>
              </w:rPr>
              <w:t>23,740</w:t>
            </w:r>
          </w:p>
        </w:tc>
        <w:tc>
          <w:tcPr>
            <w:tcW w:w="0" w:type="auto"/>
          </w:tcPr>
          <w:p w14:paraId="63C01A49" w14:textId="77777777" w:rsidR="00855CD2" w:rsidRPr="00350989" w:rsidRDefault="00855CD2" w:rsidP="000D7F61">
            <w:pPr>
              <w:spacing w:after="0"/>
              <w:rPr>
                <w:sz w:val="20"/>
              </w:rPr>
            </w:pPr>
            <w:r w:rsidRPr="00350989">
              <w:rPr>
                <w:sz w:val="20"/>
              </w:rPr>
              <w:t>2,744</w:t>
            </w:r>
          </w:p>
        </w:tc>
        <w:tc>
          <w:tcPr>
            <w:tcW w:w="0" w:type="auto"/>
          </w:tcPr>
          <w:p w14:paraId="5BBD3C6F" w14:textId="77777777" w:rsidR="00855CD2" w:rsidRPr="00350989" w:rsidRDefault="00855CD2" w:rsidP="000D7F61">
            <w:pPr>
              <w:spacing w:after="0"/>
              <w:rPr>
                <w:sz w:val="20"/>
              </w:rPr>
            </w:pPr>
            <w:r w:rsidRPr="00350989">
              <w:rPr>
                <w:sz w:val="20"/>
              </w:rPr>
              <w:t>50,243</w:t>
            </w:r>
          </w:p>
        </w:tc>
        <w:tc>
          <w:tcPr>
            <w:tcW w:w="0" w:type="auto"/>
          </w:tcPr>
          <w:p w14:paraId="05C446F8" w14:textId="77777777" w:rsidR="00855CD2" w:rsidRPr="00350989" w:rsidRDefault="00855CD2" w:rsidP="000D7F61">
            <w:pPr>
              <w:spacing w:after="0"/>
              <w:rPr>
                <w:sz w:val="20"/>
              </w:rPr>
            </w:pPr>
            <w:r w:rsidRPr="00350989">
              <w:rPr>
                <w:sz w:val="20"/>
              </w:rPr>
              <w:t>6,572</w:t>
            </w:r>
          </w:p>
        </w:tc>
      </w:tr>
    </w:tbl>
    <w:p w14:paraId="0B27999A" w14:textId="77777777" w:rsidR="00855CD2" w:rsidRPr="00350989" w:rsidRDefault="00855CD2" w:rsidP="000D7F61">
      <w:pPr>
        <w:spacing w:after="0"/>
        <w:rPr>
          <w:i/>
          <w:sz w:val="20"/>
          <w:lang w:eastAsia="en-GB"/>
        </w:rPr>
      </w:pPr>
      <w:r w:rsidRPr="00350989">
        <w:rPr>
          <w:i/>
          <w:sz w:val="20"/>
        </w:rPr>
        <w:t xml:space="preserve">Source: </w:t>
      </w:r>
      <w:r w:rsidRPr="00350989">
        <w:rPr>
          <w:i/>
          <w:sz w:val="20"/>
          <w:lang w:eastAsia="en-GB"/>
        </w:rPr>
        <w:t>EUSILC UDB 2014 – version 2 of August 2016</w:t>
      </w:r>
    </w:p>
    <w:p w14:paraId="093C712E" w14:textId="77777777" w:rsidR="00855CD2" w:rsidRPr="00350989" w:rsidRDefault="00855CD2" w:rsidP="000D7F61">
      <w:pPr>
        <w:spacing w:after="0"/>
        <w:rPr>
          <w:sz w:val="20"/>
          <w:lang w:eastAsia="en-GB"/>
        </w:rPr>
      </w:pPr>
    </w:p>
    <w:p w14:paraId="6ECEA915" w14:textId="77777777" w:rsidR="00855CD2" w:rsidRPr="00350989" w:rsidRDefault="00855CD2" w:rsidP="000D7F61">
      <w:pPr>
        <w:spacing w:after="0"/>
        <w:rPr>
          <w:b/>
          <w:bCs/>
        </w:rPr>
      </w:pPr>
      <w:r w:rsidRPr="00350989">
        <w:rPr>
          <w:b/>
          <w:bCs/>
        </w:rPr>
        <w:t xml:space="preserve">Table </w:t>
      </w:r>
      <w:r w:rsidRPr="00350989">
        <w:rPr>
          <w:b/>
          <w:bCs/>
        </w:rPr>
        <w:fldChar w:fldCharType="begin"/>
      </w:r>
      <w:r w:rsidRPr="00350989">
        <w:rPr>
          <w:b/>
          <w:bCs/>
        </w:rPr>
        <w:instrText xml:space="preserve"> SEQ Table \* ARABIC </w:instrText>
      </w:r>
      <w:r w:rsidRPr="00350989">
        <w:rPr>
          <w:b/>
          <w:bCs/>
        </w:rPr>
        <w:fldChar w:fldCharType="separate"/>
      </w:r>
      <w:r w:rsidRPr="00350989">
        <w:rPr>
          <w:b/>
          <w:bCs/>
          <w:noProof/>
        </w:rPr>
        <w:t>15</w:t>
      </w:r>
      <w:r w:rsidRPr="00350989">
        <w:rPr>
          <w:b/>
          <w:bCs/>
          <w:noProof/>
        </w:rPr>
        <w:fldChar w:fldCharType="end"/>
      </w:r>
      <w:r w:rsidRPr="00350989">
        <w:rPr>
          <w:b/>
          <w:bCs/>
        </w:rPr>
        <w:t xml:space="preserve">: </w:t>
      </w:r>
      <w:r w:rsidRPr="00350989">
        <w:rPr>
          <w:b/>
          <w:bCs/>
          <w:noProof/>
        </w:rPr>
        <w:t>Completion of tertiary or equivalent education (indicative based on above sample)</w:t>
      </w:r>
    </w:p>
    <w:p w14:paraId="09396D63" w14:textId="77777777" w:rsidR="00855CD2" w:rsidRPr="00350989" w:rsidRDefault="00855CD2" w:rsidP="000D7F61">
      <w:pPr>
        <w:spacing w:after="0"/>
      </w:pPr>
      <w:r w:rsidRPr="00350989">
        <w:rPr>
          <w:noProof/>
          <w:lang w:val="nl-NL" w:eastAsia="nl-NL"/>
        </w:rPr>
        <w:drawing>
          <wp:inline distT="0" distB="0" distL="0" distR="0" wp14:anchorId="325A60C3" wp14:editId="503EF54D">
            <wp:extent cx="5486400" cy="2364059"/>
            <wp:effectExtent l="0" t="0" r="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B263206" w14:textId="77777777" w:rsidR="00855CD2" w:rsidRPr="00350989" w:rsidRDefault="00855CD2" w:rsidP="000D7F61">
      <w:pPr>
        <w:spacing w:after="0"/>
        <w:rPr>
          <w:i/>
          <w:sz w:val="20"/>
          <w:lang w:eastAsia="en-GB"/>
        </w:rPr>
      </w:pPr>
      <w:r w:rsidRPr="00350989">
        <w:rPr>
          <w:i/>
          <w:sz w:val="20"/>
        </w:rPr>
        <w:t xml:space="preserve">Source: </w:t>
      </w:r>
      <w:r w:rsidRPr="00350989">
        <w:rPr>
          <w:i/>
          <w:sz w:val="20"/>
          <w:lang w:eastAsia="en-GB"/>
        </w:rPr>
        <w:t>EUSILC UDB 2014 – version 2 of August 2016</w:t>
      </w:r>
    </w:p>
    <w:p w14:paraId="0359FFD4" w14:textId="77777777" w:rsidR="00855CD2" w:rsidRPr="00350989" w:rsidRDefault="00855CD2" w:rsidP="000D7F61">
      <w:pPr>
        <w:spacing w:after="0"/>
        <w:rPr>
          <w:sz w:val="20"/>
        </w:rPr>
      </w:pPr>
    </w:p>
    <w:p w14:paraId="2EB80E01" w14:textId="640D96D4" w:rsidR="00855CD2" w:rsidRPr="00350989" w:rsidRDefault="00855CD2" w:rsidP="000D7F61">
      <w:pPr>
        <w:spacing w:after="0"/>
      </w:pPr>
      <w:r w:rsidRPr="00350989">
        <w:t xml:space="preserve">The survey sample is not sufficient to provide robust trend data disaggregated by gender in the narrow EU2020 target age group. In only 12 out of 28 Member States are there more than 50 observations in the sample for both women and for men in aged 30-34 who also declare impairment/limitation. In 5 there are fewer than 20 observations for women or for </w:t>
      </w:r>
      <w:r w:rsidR="00D126EE" w:rsidRPr="00350989">
        <w:t>men, which cannot be reported.</w:t>
      </w:r>
    </w:p>
    <w:p w14:paraId="78601DC0" w14:textId="77777777" w:rsidR="00D126EE" w:rsidRPr="00350989" w:rsidRDefault="00D126EE" w:rsidP="000D7F61">
      <w:pPr>
        <w:spacing w:after="0"/>
      </w:pPr>
    </w:p>
    <w:p w14:paraId="65FE19B9" w14:textId="77777777" w:rsidR="00855CD2" w:rsidRPr="00350989" w:rsidRDefault="00855CD2" w:rsidP="000D7F61">
      <w:pPr>
        <w:spacing w:after="0"/>
      </w:pPr>
      <w:r w:rsidRPr="00350989">
        <w:t>The following table is indicative at the EU level but gender trends at the national level should be treated with caution. In all Member States except Austria the achievement of tertiary education was higher for women than for men in both groups.</w:t>
      </w:r>
    </w:p>
    <w:p w14:paraId="602DB47C" w14:textId="77777777" w:rsidR="00855CD2" w:rsidRPr="00350989" w:rsidRDefault="00855CD2" w:rsidP="000D7F61">
      <w:pPr>
        <w:keepNext/>
        <w:spacing w:after="0"/>
        <w:rPr>
          <w:b/>
          <w:bCs/>
        </w:rPr>
      </w:pPr>
      <w:r w:rsidRPr="00350989">
        <w:rPr>
          <w:b/>
          <w:bCs/>
        </w:rPr>
        <w:lastRenderedPageBreak/>
        <w:t xml:space="preserve">Table </w:t>
      </w:r>
      <w:r w:rsidRPr="00350989">
        <w:rPr>
          <w:b/>
          <w:bCs/>
        </w:rPr>
        <w:fldChar w:fldCharType="begin"/>
      </w:r>
      <w:r w:rsidRPr="00350989">
        <w:rPr>
          <w:b/>
          <w:bCs/>
        </w:rPr>
        <w:instrText xml:space="preserve"> SEQ Table \* ARABIC </w:instrText>
      </w:r>
      <w:r w:rsidRPr="00350989">
        <w:rPr>
          <w:b/>
          <w:bCs/>
        </w:rPr>
        <w:fldChar w:fldCharType="separate"/>
      </w:r>
      <w:r w:rsidRPr="00350989">
        <w:rPr>
          <w:b/>
          <w:bCs/>
          <w:noProof/>
        </w:rPr>
        <w:t>16</w:t>
      </w:r>
      <w:r w:rsidRPr="00350989">
        <w:rPr>
          <w:b/>
          <w:bCs/>
          <w:noProof/>
        </w:rPr>
        <w:fldChar w:fldCharType="end"/>
      </w:r>
      <w:r w:rsidRPr="00350989">
        <w:rPr>
          <w:b/>
          <w:bCs/>
        </w:rPr>
        <w:t>: Trends in tertiary education by disability (aged 30-34)</w:t>
      </w:r>
    </w:p>
    <w:p w14:paraId="5471D090" w14:textId="77777777" w:rsidR="00855CD2" w:rsidRPr="00350989" w:rsidRDefault="00855CD2" w:rsidP="000D7F61">
      <w:pPr>
        <w:spacing w:after="0"/>
      </w:pPr>
      <w:r w:rsidRPr="00350989">
        <w:rPr>
          <w:noProof/>
          <w:lang w:val="nl-NL" w:eastAsia="nl-NL"/>
        </w:rPr>
        <w:drawing>
          <wp:inline distT="0" distB="0" distL="0" distR="0" wp14:anchorId="1A556A5C" wp14:editId="59DE07AA">
            <wp:extent cx="5486400" cy="3980329"/>
            <wp:effectExtent l="0" t="0" r="19050" b="2032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D5B0426" w14:textId="77777777" w:rsidR="00855CD2" w:rsidRPr="00350989" w:rsidRDefault="00855CD2" w:rsidP="000D7F61">
      <w:pPr>
        <w:spacing w:after="0"/>
        <w:rPr>
          <w:i/>
          <w:sz w:val="20"/>
          <w:lang w:eastAsia="en-GB"/>
        </w:rPr>
      </w:pPr>
      <w:r w:rsidRPr="00350989">
        <w:rPr>
          <w:i/>
          <w:sz w:val="20"/>
        </w:rPr>
        <w:t xml:space="preserve">Source: </w:t>
      </w:r>
      <w:r w:rsidRPr="00350989">
        <w:rPr>
          <w:i/>
          <w:sz w:val="20"/>
          <w:lang w:eastAsia="en-GB"/>
        </w:rPr>
        <w:t>EUSILC UDB 2014 – version 2 of August 2016 (and preceding UDBs)</w:t>
      </w:r>
    </w:p>
    <w:p w14:paraId="17BAE57F" w14:textId="77777777" w:rsidR="00855CD2" w:rsidRPr="00350989" w:rsidRDefault="00855CD2" w:rsidP="000D7F61">
      <w:pPr>
        <w:spacing w:after="0" w:line="276" w:lineRule="auto"/>
        <w:rPr>
          <w:i/>
          <w:sz w:val="20"/>
        </w:rPr>
      </w:pPr>
      <w:r w:rsidRPr="00350989">
        <w:rPr>
          <w:i/>
          <w:sz w:val="20"/>
        </w:rPr>
        <w:t>* There is some missing data in the trend for Cyprus</w:t>
      </w:r>
    </w:p>
    <w:p w14:paraId="7802FBBF" w14:textId="77777777" w:rsidR="00855CD2" w:rsidRPr="00350989" w:rsidRDefault="00855CD2" w:rsidP="000D7F61">
      <w:pPr>
        <w:spacing w:after="0"/>
        <w:rPr>
          <w:b/>
          <w:bCs/>
        </w:rPr>
      </w:pPr>
    </w:p>
    <w:p w14:paraId="2580BA96" w14:textId="77777777" w:rsidR="00D939BF" w:rsidRPr="00350989" w:rsidRDefault="00D939BF" w:rsidP="000D7F61">
      <w:pPr>
        <w:spacing w:after="0"/>
        <w:rPr>
          <w:b/>
          <w:bCs/>
        </w:rPr>
      </w:pPr>
      <w:r w:rsidRPr="00350989">
        <w:rPr>
          <w:b/>
          <w:bCs/>
        </w:rPr>
        <w:t xml:space="preserve">Alternative </w:t>
      </w:r>
      <w:r w:rsidR="00CC6322" w:rsidRPr="00350989">
        <w:rPr>
          <w:b/>
          <w:bCs/>
        </w:rPr>
        <w:t xml:space="preserve">data on disability and </w:t>
      </w:r>
      <w:r w:rsidR="009E4D16" w:rsidRPr="00350989">
        <w:rPr>
          <w:b/>
          <w:bCs/>
        </w:rPr>
        <w:t xml:space="preserve">tertiary education </w:t>
      </w:r>
      <w:r w:rsidR="00803568" w:rsidRPr="00350989">
        <w:rPr>
          <w:b/>
          <w:bCs/>
        </w:rPr>
        <w:t>provided by the national expert</w:t>
      </w:r>
      <w:r w:rsidRPr="00350989">
        <w:rPr>
          <w:b/>
          <w:bCs/>
        </w:rPr>
        <w:t>:</w:t>
      </w:r>
    </w:p>
    <w:p w14:paraId="5682CB0E" w14:textId="77777777" w:rsidR="00B87D1F" w:rsidRPr="00350989" w:rsidRDefault="00B87D1F" w:rsidP="000D7F61">
      <w:pPr>
        <w:spacing w:after="0"/>
        <w:rPr>
          <w:b/>
          <w:bCs/>
        </w:rPr>
      </w:pPr>
    </w:p>
    <w:p w14:paraId="72B4CB9F" w14:textId="0518CAC9" w:rsidR="00E274B3" w:rsidRPr="00350989" w:rsidRDefault="0088210F" w:rsidP="000D7F61">
      <w:pPr>
        <w:spacing w:after="0"/>
      </w:pPr>
      <w:r w:rsidRPr="00350989">
        <w:t>According to the NRP (2016) the tertiary education attainment has increased and it has continued to exceed both the EU target (40</w:t>
      </w:r>
      <w:r w:rsidR="009A0575" w:rsidRPr="00350989">
        <w:t xml:space="preserve"> %</w:t>
      </w:r>
      <w:r w:rsidRPr="00350989">
        <w:t>) and the national target (46</w:t>
      </w:r>
      <w:r w:rsidR="009A0575" w:rsidRPr="00350989">
        <w:t xml:space="preserve"> %</w:t>
      </w:r>
      <w:r w:rsidRPr="00350989">
        <w:t>). The share of population of 30-34 year olds that have completed tertiary education increased to 54.2</w:t>
      </w:r>
      <w:r w:rsidR="009A0575" w:rsidRPr="00350989">
        <w:t xml:space="preserve"> %</w:t>
      </w:r>
      <w:r w:rsidRPr="00350989">
        <w:t xml:space="preserve"> in 2015 (provisional data), despite the decreased household income due to the economic crisis</w:t>
      </w:r>
      <w:r w:rsidR="00097C11" w:rsidRPr="00350989">
        <w:t xml:space="preserve"> but t</w:t>
      </w:r>
      <w:r w:rsidRPr="00350989">
        <w:t>he report does not provide any data specific to disability and tertiary education. However, t</w:t>
      </w:r>
      <w:r w:rsidR="00E274B3" w:rsidRPr="00350989">
        <w:t>he following numbers of students have been recorded, for the academic years 2011-2015</w:t>
      </w:r>
      <w:r w:rsidR="00245231" w:rsidRPr="00350989">
        <w:t>. All data in tables have been provided by the Students’ Support and Welfare Services of each University by email, after request from ANED CY Experts</w:t>
      </w:r>
      <w:r w:rsidR="001B09D7" w:rsidRPr="00350989">
        <w:t>, and more recent data for 2016 were not available yet</w:t>
      </w:r>
      <w:r w:rsidR="00E274B3" w:rsidRPr="00350989">
        <w:t>:</w:t>
      </w:r>
    </w:p>
    <w:p w14:paraId="1CF4966A" w14:textId="77777777" w:rsidR="00B87D1F" w:rsidRPr="00350989" w:rsidRDefault="00B87D1F" w:rsidP="000D7F61">
      <w:pPr>
        <w:spacing w:after="0"/>
      </w:pPr>
    </w:p>
    <w:p w14:paraId="6E3B1987" w14:textId="77777777" w:rsidR="00E274B3" w:rsidRPr="00350989" w:rsidRDefault="00B87D1F" w:rsidP="000D7F61">
      <w:pPr>
        <w:spacing w:after="0"/>
        <w:rPr>
          <w:b/>
        </w:rPr>
      </w:pPr>
      <w:r w:rsidRPr="00350989">
        <w:rPr>
          <w:b/>
        </w:rPr>
        <w:br w:type="page"/>
      </w:r>
      <w:r w:rsidR="00E274B3" w:rsidRPr="00350989">
        <w:rPr>
          <w:b/>
        </w:rPr>
        <w:lastRenderedPageBreak/>
        <w:t>Table</w:t>
      </w:r>
      <w:r w:rsidR="001B09D7" w:rsidRPr="00350989">
        <w:rPr>
          <w:b/>
        </w:rPr>
        <w:t xml:space="preserve"> 16a</w:t>
      </w:r>
      <w:r w:rsidR="00E274B3" w:rsidRPr="00350989">
        <w:rPr>
          <w:b/>
        </w:rPr>
        <w:t>: Total numbers of students with disabilities</w:t>
      </w:r>
      <w:r w:rsidR="00E274B3" w:rsidRPr="00350989">
        <w:rPr>
          <w:rStyle w:val="FootnoteReference"/>
          <w:b/>
        </w:rPr>
        <w:footnoteReference w:id="17"/>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0"/>
        <w:gridCol w:w="1592"/>
        <w:gridCol w:w="1593"/>
        <w:gridCol w:w="1592"/>
        <w:gridCol w:w="1593"/>
      </w:tblGrid>
      <w:tr w:rsidR="009672E6" w:rsidRPr="00350989" w14:paraId="390C9790" w14:textId="77777777" w:rsidTr="00097C11">
        <w:trPr>
          <w:trHeight w:val="20"/>
        </w:trPr>
        <w:tc>
          <w:tcPr>
            <w:tcW w:w="2810" w:type="dxa"/>
            <w:shd w:val="clear" w:color="auto" w:fill="auto"/>
            <w:noWrap/>
            <w:vAlign w:val="center"/>
            <w:hideMark/>
          </w:tcPr>
          <w:p w14:paraId="6C4F32A5" w14:textId="77777777" w:rsidR="00E274B3" w:rsidRPr="00350989" w:rsidRDefault="00E274B3" w:rsidP="000D7F61">
            <w:pPr>
              <w:spacing w:after="0"/>
              <w:rPr>
                <w:rFonts w:eastAsia="Times New Roman"/>
                <w:color w:val="212121"/>
                <w:sz w:val="20"/>
                <w:lang w:eastAsia="el-GR"/>
              </w:rPr>
            </w:pPr>
            <w:r w:rsidRPr="00350989">
              <w:rPr>
                <w:rFonts w:eastAsia="Times New Roman"/>
                <w:b/>
                <w:bCs/>
                <w:color w:val="000000"/>
                <w:sz w:val="20"/>
                <w:lang w:eastAsia="el-GR"/>
              </w:rPr>
              <w:t> </w:t>
            </w:r>
          </w:p>
        </w:tc>
        <w:tc>
          <w:tcPr>
            <w:tcW w:w="1592" w:type="dxa"/>
            <w:shd w:val="clear" w:color="auto" w:fill="auto"/>
            <w:noWrap/>
            <w:vAlign w:val="center"/>
            <w:hideMark/>
          </w:tcPr>
          <w:p w14:paraId="3556E5A5" w14:textId="77777777" w:rsidR="00E274B3" w:rsidRPr="00350989" w:rsidRDefault="00E274B3" w:rsidP="000D7F61">
            <w:pPr>
              <w:spacing w:after="0"/>
              <w:rPr>
                <w:rFonts w:eastAsia="Times New Roman"/>
                <w:color w:val="212121"/>
                <w:sz w:val="20"/>
                <w:lang w:eastAsia="el-GR"/>
              </w:rPr>
            </w:pPr>
            <w:r w:rsidRPr="00350989">
              <w:rPr>
                <w:rFonts w:eastAsia="Times New Roman"/>
                <w:b/>
                <w:bCs/>
                <w:color w:val="000000"/>
                <w:sz w:val="20"/>
                <w:lang w:eastAsia="el-GR"/>
              </w:rPr>
              <w:t>2011-2012</w:t>
            </w:r>
          </w:p>
        </w:tc>
        <w:tc>
          <w:tcPr>
            <w:tcW w:w="1593" w:type="dxa"/>
            <w:shd w:val="clear" w:color="auto" w:fill="auto"/>
            <w:noWrap/>
            <w:vAlign w:val="center"/>
            <w:hideMark/>
          </w:tcPr>
          <w:p w14:paraId="61B4AE9A" w14:textId="77777777" w:rsidR="00E274B3" w:rsidRPr="00350989" w:rsidRDefault="00E274B3" w:rsidP="000D7F61">
            <w:pPr>
              <w:spacing w:after="0"/>
              <w:rPr>
                <w:rFonts w:eastAsia="Times New Roman"/>
                <w:color w:val="212121"/>
                <w:sz w:val="20"/>
                <w:lang w:eastAsia="el-GR"/>
              </w:rPr>
            </w:pPr>
            <w:r w:rsidRPr="00350989">
              <w:rPr>
                <w:rFonts w:eastAsia="Times New Roman"/>
                <w:b/>
                <w:bCs/>
                <w:color w:val="000000"/>
                <w:sz w:val="20"/>
                <w:lang w:eastAsia="el-GR"/>
              </w:rPr>
              <w:t>2012-2013</w:t>
            </w:r>
          </w:p>
        </w:tc>
        <w:tc>
          <w:tcPr>
            <w:tcW w:w="1592" w:type="dxa"/>
            <w:shd w:val="clear" w:color="auto" w:fill="auto"/>
            <w:noWrap/>
            <w:vAlign w:val="center"/>
            <w:hideMark/>
          </w:tcPr>
          <w:p w14:paraId="6B9B249B" w14:textId="77777777" w:rsidR="00E274B3" w:rsidRPr="00350989" w:rsidRDefault="00E274B3" w:rsidP="000D7F61">
            <w:pPr>
              <w:spacing w:after="0"/>
              <w:rPr>
                <w:rFonts w:eastAsia="Times New Roman"/>
                <w:color w:val="212121"/>
                <w:sz w:val="20"/>
                <w:lang w:eastAsia="el-GR"/>
              </w:rPr>
            </w:pPr>
            <w:r w:rsidRPr="00350989">
              <w:rPr>
                <w:rFonts w:eastAsia="Times New Roman"/>
                <w:b/>
                <w:bCs/>
                <w:color w:val="000000"/>
                <w:sz w:val="20"/>
                <w:lang w:eastAsia="el-GR"/>
              </w:rPr>
              <w:t>2013-2014</w:t>
            </w:r>
          </w:p>
        </w:tc>
        <w:tc>
          <w:tcPr>
            <w:tcW w:w="1593" w:type="dxa"/>
            <w:shd w:val="clear" w:color="auto" w:fill="auto"/>
            <w:noWrap/>
            <w:vAlign w:val="center"/>
            <w:hideMark/>
          </w:tcPr>
          <w:p w14:paraId="39D84645" w14:textId="77777777" w:rsidR="00E274B3" w:rsidRPr="00350989" w:rsidRDefault="00E274B3" w:rsidP="000D7F61">
            <w:pPr>
              <w:spacing w:after="0"/>
              <w:rPr>
                <w:rFonts w:eastAsia="Times New Roman"/>
                <w:color w:val="212121"/>
                <w:sz w:val="20"/>
                <w:lang w:eastAsia="el-GR"/>
              </w:rPr>
            </w:pPr>
            <w:r w:rsidRPr="00350989">
              <w:rPr>
                <w:rFonts w:eastAsia="Times New Roman"/>
                <w:b/>
                <w:bCs/>
                <w:color w:val="000000"/>
                <w:sz w:val="20"/>
                <w:lang w:eastAsia="el-GR"/>
              </w:rPr>
              <w:t>2014-2015</w:t>
            </w:r>
          </w:p>
        </w:tc>
      </w:tr>
      <w:tr w:rsidR="009672E6" w:rsidRPr="00350989" w14:paraId="4FC17DC4" w14:textId="77777777" w:rsidTr="00097C11">
        <w:trPr>
          <w:trHeight w:val="20"/>
        </w:trPr>
        <w:tc>
          <w:tcPr>
            <w:tcW w:w="2810" w:type="dxa"/>
            <w:shd w:val="clear" w:color="auto" w:fill="auto"/>
            <w:noWrap/>
            <w:vAlign w:val="center"/>
            <w:hideMark/>
          </w:tcPr>
          <w:p w14:paraId="331F48A1" w14:textId="77777777" w:rsidR="00E274B3" w:rsidRPr="00350989" w:rsidRDefault="00E274B3" w:rsidP="000D7F61">
            <w:pPr>
              <w:spacing w:after="0"/>
              <w:rPr>
                <w:rFonts w:eastAsia="Times New Roman"/>
                <w:color w:val="000000"/>
                <w:sz w:val="20"/>
                <w:lang w:eastAsia="el-GR"/>
              </w:rPr>
            </w:pPr>
            <w:r w:rsidRPr="00350989">
              <w:rPr>
                <w:rFonts w:eastAsia="Times New Roman"/>
                <w:color w:val="000000"/>
                <w:sz w:val="20"/>
                <w:lang w:eastAsia="el-GR"/>
              </w:rPr>
              <w:t>University of Cyprus</w:t>
            </w:r>
          </w:p>
        </w:tc>
        <w:tc>
          <w:tcPr>
            <w:tcW w:w="1592" w:type="dxa"/>
            <w:shd w:val="clear" w:color="auto" w:fill="auto"/>
            <w:noWrap/>
            <w:vAlign w:val="center"/>
            <w:hideMark/>
          </w:tcPr>
          <w:p w14:paraId="52320FBF" w14:textId="77777777" w:rsidR="00E274B3" w:rsidRPr="00350989" w:rsidRDefault="00E274B3" w:rsidP="000D7F61">
            <w:pPr>
              <w:spacing w:after="0"/>
              <w:rPr>
                <w:rFonts w:eastAsia="Times New Roman"/>
                <w:color w:val="000000"/>
                <w:sz w:val="20"/>
                <w:lang w:eastAsia="el-GR"/>
              </w:rPr>
            </w:pPr>
            <w:r w:rsidRPr="00350989">
              <w:rPr>
                <w:rFonts w:eastAsia="Times New Roman"/>
                <w:color w:val="000000"/>
                <w:sz w:val="20"/>
                <w:lang w:eastAsia="el-GR"/>
              </w:rPr>
              <w:t>162</w:t>
            </w:r>
          </w:p>
        </w:tc>
        <w:tc>
          <w:tcPr>
            <w:tcW w:w="1593" w:type="dxa"/>
            <w:shd w:val="clear" w:color="auto" w:fill="auto"/>
            <w:noWrap/>
            <w:vAlign w:val="center"/>
            <w:hideMark/>
          </w:tcPr>
          <w:p w14:paraId="6592E242" w14:textId="77777777" w:rsidR="00E274B3" w:rsidRPr="00350989" w:rsidRDefault="00E274B3" w:rsidP="000D7F61">
            <w:pPr>
              <w:spacing w:after="0"/>
              <w:rPr>
                <w:rFonts w:eastAsia="Times New Roman"/>
                <w:color w:val="000000"/>
                <w:sz w:val="20"/>
                <w:lang w:eastAsia="el-GR"/>
              </w:rPr>
            </w:pPr>
            <w:r w:rsidRPr="00350989">
              <w:rPr>
                <w:rFonts w:eastAsia="Times New Roman"/>
                <w:color w:val="000000"/>
                <w:sz w:val="20"/>
                <w:lang w:eastAsia="el-GR"/>
              </w:rPr>
              <w:t>222</w:t>
            </w:r>
          </w:p>
        </w:tc>
        <w:tc>
          <w:tcPr>
            <w:tcW w:w="1592" w:type="dxa"/>
            <w:shd w:val="clear" w:color="auto" w:fill="auto"/>
            <w:noWrap/>
            <w:vAlign w:val="center"/>
            <w:hideMark/>
          </w:tcPr>
          <w:p w14:paraId="4EFEEFF1" w14:textId="77777777" w:rsidR="00E274B3" w:rsidRPr="00350989" w:rsidRDefault="00E274B3" w:rsidP="000D7F61">
            <w:pPr>
              <w:spacing w:after="0"/>
              <w:rPr>
                <w:rFonts w:eastAsia="Times New Roman"/>
                <w:color w:val="000000"/>
                <w:sz w:val="20"/>
                <w:lang w:eastAsia="el-GR"/>
              </w:rPr>
            </w:pPr>
            <w:r w:rsidRPr="00350989">
              <w:rPr>
                <w:rFonts w:eastAsia="Times New Roman"/>
                <w:color w:val="000000"/>
                <w:sz w:val="20"/>
                <w:lang w:eastAsia="el-GR"/>
              </w:rPr>
              <w:t>245</w:t>
            </w:r>
          </w:p>
        </w:tc>
        <w:tc>
          <w:tcPr>
            <w:tcW w:w="1593" w:type="dxa"/>
            <w:shd w:val="clear" w:color="auto" w:fill="auto"/>
            <w:noWrap/>
            <w:vAlign w:val="center"/>
            <w:hideMark/>
          </w:tcPr>
          <w:p w14:paraId="2547D4F5" w14:textId="77777777" w:rsidR="00E274B3" w:rsidRPr="00350989" w:rsidRDefault="00E274B3" w:rsidP="000D7F61">
            <w:pPr>
              <w:spacing w:after="0"/>
              <w:rPr>
                <w:rFonts w:eastAsia="Times New Roman"/>
                <w:color w:val="000000"/>
                <w:sz w:val="20"/>
                <w:lang w:eastAsia="el-GR"/>
              </w:rPr>
            </w:pPr>
            <w:r w:rsidRPr="00350989">
              <w:rPr>
                <w:rFonts w:eastAsia="Times New Roman"/>
                <w:color w:val="000000"/>
                <w:sz w:val="20"/>
                <w:lang w:eastAsia="el-GR"/>
              </w:rPr>
              <w:t>160</w:t>
            </w:r>
          </w:p>
        </w:tc>
      </w:tr>
      <w:tr w:rsidR="009672E6" w:rsidRPr="00350989" w14:paraId="1DEDC1B7" w14:textId="77777777" w:rsidTr="00097C11">
        <w:trPr>
          <w:trHeight w:val="20"/>
        </w:trPr>
        <w:tc>
          <w:tcPr>
            <w:tcW w:w="2810" w:type="dxa"/>
            <w:shd w:val="clear" w:color="auto" w:fill="auto"/>
            <w:noWrap/>
            <w:vAlign w:val="center"/>
            <w:hideMark/>
          </w:tcPr>
          <w:p w14:paraId="4D029BF9" w14:textId="77777777" w:rsidR="00E274B3" w:rsidRPr="00350989" w:rsidRDefault="00E274B3" w:rsidP="000D7F61">
            <w:pPr>
              <w:spacing w:after="0"/>
              <w:rPr>
                <w:rFonts w:eastAsia="Times New Roman"/>
                <w:color w:val="000000"/>
                <w:sz w:val="20"/>
                <w:lang w:eastAsia="el-GR"/>
              </w:rPr>
            </w:pPr>
            <w:r w:rsidRPr="00350989">
              <w:rPr>
                <w:rFonts w:eastAsia="Times New Roman"/>
                <w:color w:val="000000"/>
                <w:sz w:val="20"/>
                <w:lang w:eastAsia="el-GR"/>
              </w:rPr>
              <w:t>Cyprus Technological University</w:t>
            </w:r>
          </w:p>
        </w:tc>
        <w:tc>
          <w:tcPr>
            <w:tcW w:w="1592" w:type="dxa"/>
            <w:shd w:val="clear" w:color="auto" w:fill="auto"/>
            <w:noWrap/>
            <w:vAlign w:val="center"/>
            <w:hideMark/>
          </w:tcPr>
          <w:p w14:paraId="78267C24" w14:textId="77777777" w:rsidR="00E274B3" w:rsidRPr="00350989" w:rsidRDefault="00E274B3" w:rsidP="000D7F61">
            <w:pPr>
              <w:spacing w:after="0"/>
              <w:rPr>
                <w:rFonts w:eastAsia="Times New Roman"/>
                <w:color w:val="000000"/>
                <w:sz w:val="20"/>
                <w:lang w:eastAsia="el-GR"/>
              </w:rPr>
            </w:pPr>
            <w:r w:rsidRPr="00350989">
              <w:rPr>
                <w:rFonts w:eastAsia="Times New Roman"/>
                <w:color w:val="000000"/>
                <w:sz w:val="20"/>
                <w:lang w:eastAsia="el-GR"/>
              </w:rPr>
              <w:t>78</w:t>
            </w:r>
          </w:p>
        </w:tc>
        <w:tc>
          <w:tcPr>
            <w:tcW w:w="1593" w:type="dxa"/>
            <w:shd w:val="clear" w:color="auto" w:fill="auto"/>
            <w:noWrap/>
            <w:vAlign w:val="center"/>
            <w:hideMark/>
          </w:tcPr>
          <w:p w14:paraId="7775655D" w14:textId="77777777" w:rsidR="00E274B3" w:rsidRPr="00350989" w:rsidRDefault="00E274B3" w:rsidP="000D7F61">
            <w:pPr>
              <w:spacing w:after="0"/>
              <w:rPr>
                <w:rFonts w:eastAsia="Times New Roman"/>
                <w:color w:val="000000"/>
                <w:sz w:val="20"/>
                <w:lang w:eastAsia="el-GR"/>
              </w:rPr>
            </w:pPr>
            <w:r w:rsidRPr="00350989">
              <w:rPr>
                <w:rFonts w:eastAsia="Times New Roman"/>
                <w:color w:val="000000"/>
                <w:sz w:val="20"/>
                <w:lang w:eastAsia="el-GR"/>
              </w:rPr>
              <w:t>98</w:t>
            </w:r>
          </w:p>
        </w:tc>
        <w:tc>
          <w:tcPr>
            <w:tcW w:w="1592" w:type="dxa"/>
            <w:shd w:val="clear" w:color="auto" w:fill="auto"/>
            <w:noWrap/>
            <w:vAlign w:val="center"/>
            <w:hideMark/>
          </w:tcPr>
          <w:p w14:paraId="6DBE9D63" w14:textId="77777777" w:rsidR="00E274B3" w:rsidRPr="00350989" w:rsidRDefault="00E274B3" w:rsidP="000D7F61">
            <w:pPr>
              <w:spacing w:after="0"/>
              <w:rPr>
                <w:rFonts w:eastAsia="Times New Roman"/>
                <w:color w:val="000000"/>
                <w:sz w:val="20"/>
                <w:lang w:eastAsia="el-GR"/>
              </w:rPr>
            </w:pPr>
            <w:r w:rsidRPr="00350989">
              <w:rPr>
                <w:rFonts w:eastAsia="Times New Roman"/>
                <w:color w:val="000000"/>
                <w:sz w:val="20"/>
                <w:lang w:eastAsia="el-GR"/>
              </w:rPr>
              <w:t>107</w:t>
            </w:r>
          </w:p>
        </w:tc>
        <w:tc>
          <w:tcPr>
            <w:tcW w:w="1593" w:type="dxa"/>
            <w:shd w:val="clear" w:color="auto" w:fill="auto"/>
            <w:noWrap/>
            <w:vAlign w:val="center"/>
            <w:hideMark/>
          </w:tcPr>
          <w:p w14:paraId="44A8E1DD" w14:textId="77777777" w:rsidR="00E274B3" w:rsidRPr="00350989" w:rsidRDefault="00E274B3" w:rsidP="000D7F61">
            <w:pPr>
              <w:spacing w:after="0"/>
              <w:rPr>
                <w:sz w:val="20"/>
              </w:rPr>
            </w:pPr>
            <w:r w:rsidRPr="00350989">
              <w:rPr>
                <w:rFonts w:eastAsia="Times New Roman"/>
                <w:color w:val="000000"/>
                <w:sz w:val="20"/>
                <w:lang w:eastAsia="el-GR"/>
              </w:rPr>
              <w:t>Not provided</w:t>
            </w:r>
          </w:p>
        </w:tc>
      </w:tr>
      <w:tr w:rsidR="009672E6" w:rsidRPr="00350989" w14:paraId="1A71D252" w14:textId="77777777" w:rsidTr="00097C11">
        <w:trPr>
          <w:trHeight w:val="20"/>
        </w:trPr>
        <w:tc>
          <w:tcPr>
            <w:tcW w:w="2810" w:type="dxa"/>
            <w:shd w:val="clear" w:color="auto" w:fill="auto"/>
            <w:noWrap/>
            <w:vAlign w:val="center"/>
            <w:hideMark/>
          </w:tcPr>
          <w:p w14:paraId="452D4892" w14:textId="77777777" w:rsidR="00E274B3" w:rsidRPr="00350989" w:rsidRDefault="00E274B3" w:rsidP="000D7F61">
            <w:pPr>
              <w:spacing w:after="0"/>
              <w:rPr>
                <w:rFonts w:eastAsia="Times New Roman"/>
                <w:color w:val="000000"/>
                <w:sz w:val="20"/>
                <w:lang w:eastAsia="el-GR"/>
              </w:rPr>
            </w:pPr>
            <w:r w:rsidRPr="00350989">
              <w:rPr>
                <w:rFonts w:eastAsia="Times New Roman"/>
                <w:color w:val="000000"/>
                <w:sz w:val="20"/>
                <w:lang w:eastAsia="el-GR"/>
              </w:rPr>
              <w:t>Open University Cyprus</w:t>
            </w:r>
          </w:p>
        </w:tc>
        <w:tc>
          <w:tcPr>
            <w:tcW w:w="1592" w:type="dxa"/>
            <w:shd w:val="clear" w:color="auto" w:fill="auto"/>
            <w:noWrap/>
            <w:vAlign w:val="center"/>
            <w:hideMark/>
          </w:tcPr>
          <w:p w14:paraId="7545E0A1" w14:textId="77777777" w:rsidR="00E274B3" w:rsidRPr="00350989" w:rsidRDefault="00E274B3" w:rsidP="000D7F61">
            <w:pPr>
              <w:spacing w:after="0"/>
              <w:rPr>
                <w:rFonts w:eastAsia="Times New Roman"/>
                <w:color w:val="000000"/>
                <w:sz w:val="20"/>
                <w:lang w:eastAsia="el-GR"/>
              </w:rPr>
            </w:pPr>
            <w:r w:rsidRPr="00350989">
              <w:rPr>
                <w:rFonts w:eastAsia="Times New Roman"/>
                <w:color w:val="000000"/>
                <w:sz w:val="20"/>
                <w:lang w:eastAsia="el-GR"/>
              </w:rPr>
              <w:t>24</w:t>
            </w:r>
          </w:p>
        </w:tc>
        <w:tc>
          <w:tcPr>
            <w:tcW w:w="1593" w:type="dxa"/>
            <w:shd w:val="clear" w:color="auto" w:fill="auto"/>
            <w:noWrap/>
            <w:vAlign w:val="center"/>
            <w:hideMark/>
          </w:tcPr>
          <w:p w14:paraId="14C7674B" w14:textId="77777777" w:rsidR="00E274B3" w:rsidRPr="00350989" w:rsidRDefault="00E274B3" w:rsidP="000D7F61">
            <w:pPr>
              <w:spacing w:after="0"/>
              <w:rPr>
                <w:rFonts w:eastAsia="Times New Roman"/>
                <w:color w:val="000000"/>
                <w:sz w:val="20"/>
                <w:lang w:eastAsia="el-GR"/>
              </w:rPr>
            </w:pPr>
            <w:r w:rsidRPr="00350989">
              <w:rPr>
                <w:rFonts w:eastAsia="Times New Roman"/>
                <w:color w:val="000000"/>
                <w:sz w:val="20"/>
                <w:lang w:eastAsia="el-GR"/>
              </w:rPr>
              <w:t>40</w:t>
            </w:r>
          </w:p>
        </w:tc>
        <w:tc>
          <w:tcPr>
            <w:tcW w:w="1592" w:type="dxa"/>
            <w:shd w:val="clear" w:color="auto" w:fill="auto"/>
            <w:noWrap/>
            <w:vAlign w:val="center"/>
            <w:hideMark/>
          </w:tcPr>
          <w:p w14:paraId="40D263D0" w14:textId="77777777" w:rsidR="00E274B3" w:rsidRPr="00350989" w:rsidRDefault="00E274B3" w:rsidP="000D7F61">
            <w:pPr>
              <w:spacing w:after="0"/>
              <w:rPr>
                <w:rFonts w:eastAsia="Times New Roman"/>
                <w:color w:val="000000"/>
                <w:sz w:val="20"/>
                <w:lang w:eastAsia="el-GR"/>
              </w:rPr>
            </w:pPr>
            <w:r w:rsidRPr="00350989">
              <w:rPr>
                <w:rFonts w:eastAsia="Times New Roman"/>
                <w:color w:val="000000"/>
                <w:sz w:val="20"/>
                <w:lang w:eastAsia="el-GR"/>
              </w:rPr>
              <w:t>48</w:t>
            </w:r>
          </w:p>
        </w:tc>
        <w:tc>
          <w:tcPr>
            <w:tcW w:w="1593" w:type="dxa"/>
            <w:shd w:val="clear" w:color="auto" w:fill="auto"/>
            <w:noWrap/>
            <w:vAlign w:val="center"/>
            <w:hideMark/>
          </w:tcPr>
          <w:p w14:paraId="624C0BE9" w14:textId="77777777" w:rsidR="00E274B3" w:rsidRPr="00350989" w:rsidRDefault="00E274B3" w:rsidP="000D7F61">
            <w:pPr>
              <w:spacing w:after="0"/>
              <w:rPr>
                <w:rFonts w:eastAsia="Times New Roman"/>
                <w:color w:val="000000"/>
                <w:sz w:val="20"/>
                <w:lang w:eastAsia="el-GR"/>
              </w:rPr>
            </w:pPr>
            <w:r w:rsidRPr="00350989">
              <w:rPr>
                <w:rFonts w:eastAsia="Times New Roman"/>
                <w:color w:val="000000"/>
                <w:sz w:val="20"/>
                <w:lang w:eastAsia="el-GR"/>
              </w:rPr>
              <w:t>19</w:t>
            </w:r>
          </w:p>
        </w:tc>
      </w:tr>
      <w:tr w:rsidR="009672E6" w:rsidRPr="00350989" w14:paraId="413C7DF0" w14:textId="77777777" w:rsidTr="00097C11">
        <w:trPr>
          <w:trHeight w:val="20"/>
        </w:trPr>
        <w:tc>
          <w:tcPr>
            <w:tcW w:w="2810" w:type="dxa"/>
            <w:shd w:val="clear" w:color="auto" w:fill="auto"/>
            <w:noWrap/>
            <w:vAlign w:val="center"/>
            <w:hideMark/>
          </w:tcPr>
          <w:p w14:paraId="1B9E641D" w14:textId="77777777" w:rsidR="00E274B3" w:rsidRPr="00350989" w:rsidRDefault="00E274B3" w:rsidP="000D7F61">
            <w:pPr>
              <w:spacing w:after="0"/>
              <w:rPr>
                <w:rFonts w:eastAsia="Times New Roman"/>
                <w:color w:val="000000"/>
                <w:sz w:val="20"/>
                <w:lang w:eastAsia="el-GR"/>
              </w:rPr>
            </w:pPr>
            <w:r w:rsidRPr="00350989">
              <w:rPr>
                <w:rFonts w:eastAsia="Times New Roman"/>
                <w:color w:val="000000"/>
                <w:sz w:val="20"/>
                <w:lang w:eastAsia="el-GR"/>
              </w:rPr>
              <w:t>European University Cyprus</w:t>
            </w:r>
          </w:p>
        </w:tc>
        <w:tc>
          <w:tcPr>
            <w:tcW w:w="1592" w:type="dxa"/>
            <w:shd w:val="clear" w:color="auto" w:fill="auto"/>
            <w:noWrap/>
            <w:vAlign w:val="center"/>
            <w:hideMark/>
          </w:tcPr>
          <w:p w14:paraId="26737B96" w14:textId="77777777" w:rsidR="00E274B3" w:rsidRPr="00350989" w:rsidRDefault="00E274B3" w:rsidP="000D7F61">
            <w:pPr>
              <w:spacing w:after="0"/>
              <w:rPr>
                <w:rFonts w:eastAsia="Times New Roman"/>
                <w:color w:val="000000"/>
                <w:sz w:val="20"/>
                <w:lang w:eastAsia="el-GR"/>
              </w:rPr>
            </w:pPr>
            <w:r w:rsidRPr="00350989">
              <w:rPr>
                <w:rFonts w:eastAsia="Times New Roman"/>
                <w:color w:val="000000"/>
                <w:sz w:val="20"/>
                <w:lang w:eastAsia="el-GR"/>
              </w:rPr>
              <w:t>46</w:t>
            </w:r>
          </w:p>
        </w:tc>
        <w:tc>
          <w:tcPr>
            <w:tcW w:w="1593" w:type="dxa"/>
            <w:shd w:val="clear" w:color="auto" w:fill="auto"/>
            <w:noWrap/>
            <w:vAlign w:val="center"/>
            <w:hideMark/>
          </w:tcPr>
          <w:p w14:paraId="3758F52C" w14:textId="77777777" w:rsidR="00E274B3" w:rsidRPr="00350989" w:rsidRDefault="00E274B3" w:rsidP="000D7F61">
            <w:pPr>
              <w:spacing w:after="0"/>
              <w:rPr>
                <w:rFonts w:eastAsia="Times New Roman"/>
                <w:color w:val="000000"/>
                <w:sz w:val="20"/>
                <w:lang w:eastAsia="el-GR"/>
              </w:rPr>
            </w:pPr>
            <w:r w:rsidRPr="00350989">
              <w:rPr>
                <w:rFonts w:eastAsia="Times New Roman"/>
                <w:color w:val="000000"/>
                <w:sz w:val="20"/>
                <w:lang w:eastAsia="el-GR"/>
              </w:rPr>
              <w:t>152</w:t>
            </w:r>
          </w:p>
        </w:tc>
        <w:tc>
          <w:tcPr>
            <w:tcW w:w="1592" w:type="dxa"/>
            <w:shd w:val="clear" w:color="auto" w:fill="auto"/>
            <w:noWrap/>
            <w:vAlign w:val="center"/>
            <w:hideMark/>
          </w:tcPr>
          <w:p w14:paraId="6AC25DFE" w14:textId="77777777" w:rsidR="00E274B3" w:rsidRPr="00350989" w:rsidRDefault="00E274B3" w:rsidP="000D7F61">
            <w:pPr>
              <w:spacing w:after="0"/>
              <w:rPr>
                <w:rFonts w:eastAsia="Times New Roman"/>
                <w:color w:val="000000"/>
                <w:sz w:val="20"/>
                <w:lang w:eastAsia="el-GR"/>
              </w:rPr>
            </w:pPr>
            <w:r w:rsidRPr="00350989">
              <w:rPr>
                <w:rFonts w:eastAsia="Times New Roman"/>
                <w:color w:val="000000"/>
                <w:sz w:val="20"/>
                <w:lang w:eastAsia="el-GR"/>
              </w:rPr>
              <w:t>175</w:t>
            </w:r>
          </w:p>
        </w:tc>
        <w:tc>
          <w:tcPr>
            <w:tcW w:w="1593" w:type="dxa"/>
            <w:shd w:val="clear" w:color="auto" w:fill="auto"/>
            <w:noWrap/>
            <w:vAlign w:val="center"/>
            <w:hideMark/>
          </w:tcPr>
          <w:p w14:paraId="3D9CBE47" w14:textId="77777777" w:rsidR="00E274B3" w:rsidRPr="00350989" w:rsidRDefault="00E274B3" w:rsidP="000D7F61">
            <w:pPr>
              <w:spacing w:after="0"/>
              <w:rPr>
                <w:rFonts w:eastAsia="Times New Roman"/>
                <w:color w:val="000000"/>
                <w:sz w:val="20"/>
                <w:lang w:eastAsia="el-GR"/>
              </w:rPr>
            </w:pPr>
            <w:r w:rsidRPr="00350989">
              <w:rPr>
                <w:rFonts w:eastAsia="Times New Roman"/>
                <w:color w:val="000000"/>
                <w:sz w:val="20"/>
                <w:lang w:eastAsia="el-GR"/>
              </w:rPr>
              <w:t>197</w:t>
            </w:r>
          </w:p>
        </w:tc>
      </w:tr>
      <w:tr w:rsidR="009672E6" w:rsidRPr="00350989" w14:paraId="26B35733" w14:textId="77777777" w:rsidTr="00097C11">
        <w:trPr>
          <w:trHeight w:val="20"/>
        </w:trPr>
        <w:tc>
          <w:tcPr>
            <w:tcW w:w="2810" w:type="dxa"/>
            <w:shd w:val="clear" w:color="auto" w:fill="auto"/>
            <w:noWrap/>
            <w:vAlign w:val="center"/>
            <w:hideMark/>
          </w:tcPr>
          <w:p w14:paraId="48B8395A" w14:textId="77777777" w:rsidR="00E274B3" w:rsidRPr="00350989" w:rsidRDefault="00E274B3" w:rsidP="000D7F61">
            <w:pPr>
              <w:spacing w:after="0"/>
              <w:rPr>
                <w:rFonts w:eastAsia="Times New Roman"/>
                <w:color w:val="000000"/>
                <w:sz w:val="20"/>
                <w:lang w:eastAsia="el-GR"/>
              </w:rPr>
            </w:pPr>
            <w:r w:rsidRPr="00350989">
              <w:rPr>
                <w:rFonts w:eastAsia="Times New Roman"/>
                <w:color w:val="000000"/>
                <w:sz w:val="20"/>
                <w:lang w:eastAsia="el-GR"/>
              </w:rPr>
              <w:t>University of Nicosia</w:t>
            </w:r>
          </w:p>
        </w:tc>
        <w:tc>
          <w:tcPr>
            <w:tcW w:w="1592" w:type="dxa"/>
            <w:shd w:val="clear" w:color="auto" w:fill="auto"/>
            <w:noWrap/>
            <w:vAlign w:val="center"/>
            <w:hideMark/>
          </w:tcPr>
          <w:p w14:paraId="5E7D1161" w14:textId="77777777" w:rsidR="00E274B3" w:rsidRPr="00350989" w:rsidRDefault="00E274B3" w:rsidP="000D7F61">
            <w:pPr>
              <w:spacing w:after="0"/>
              <w:rPr>
                <w:rFonts w:eastAsia="Times New Roman"/>
                <w:color w:val="000000"/>
                <w:sz w:val="20"/>
                <w:lang w:eastAsia="el-GR"/>
              </w:rPr>
            </w:pPr>
            <w:r w:rsidRPr="00350989">
              <w:rPr>
                <w:rFonts w:eastAsia="Times New Roman"/>
                <w:color w:val="000000"/>
                <w:sz w:val="20"/>
                <w:lang w:eastAsia="el-GR"/>
              </w:rPr>
              <w:t>57</w:t>
            </w:r>
          </w:p>
        </w:tc>
        <w:tc>
          <w:tcPr>
            <w:tcW w:w="1593" w:type="dxa"/>
            <w:shd w:val="clear" w:color="auto" w:fill="auto"/>
            <w:noWrap/>
            <w:vAlign w:val="center"/>
            <w:hideMark/>
          </w:tcPr>
          <w:p w14:paraId="7F108E5A" w14:textId="77777777" w:rsidR="00E274B3" w:rsidRPr="00350989" w:rsidRDefault="00E274B3" w:rsidP="000D7F61">
            <w:pPr>
              <w:spacing w:after="0"/>
              <w:rPr>
                <w:rFonts w:eastAsia="Times New Roman"/>
                <w:color w:val="000000"/>
                <w:sz w:val="20"/>
                <w:lang w:eastAsia="el-GR"/>
              </w:rPr>
            </w:pPr>
            <w:r w:rsidRPr="00350989">
              <w:rPr>
                <w:rFonts w:eastAsia="Times New Roman"/>
                <w:color w:val="000000"/>
                <w:sz w:val="20"/>
                <w:lang w:eastAsia="el-GR"/>
              </w:rPr>
              <w:t>68</w:t>
            </w:r>
          </w:p>
        </w:tc>
        <w:tc>
          <w:tcPr>
            <w:tcW w:w="1592" w:type="dxa"/>
            <w:shd w:val="clear" w:color="auto" w:fill="auto"/>
            <w:noWrap/>
            <w:vAlign w:val="center"/>
            <w:hideMark/>
          </w:tcPr>
          <w:p w14:paraId="393203EA" w14:textId="77777777" w:rsidR="00E274B3" w:rsidRPr="00350989" w:rsidRDefault="00E274B3" w:rsidP="000D7F61">
            <w:pPr>
              <w:spacing w:after="0"/>
              <w:rPr>
                <w:rFonts w:eastAsia="Times New Roman"/>
                <w:color w:val="000000"/>
                <w:sz w:val="20"/>
                <w:lang w:eastAsia="el-GR"/>
              </w:rPr>
            </w:pPr>
            <w:r w:rsidRPr="00350989">
              <w:rPr>
                <w:rFonts w:eastAsia="Times New Roman"/>
                <w:color w:val="000000"/>
                <w:sz w:val="20"/>
                <w:lang w:eastAsia="el-GR"/>
              </w:rPr>
              <w:t>87</w:t>
            </w:r>
          </w:p>
        </w:tc>
        <w:tc>
          <w:tcPr>
            <w:tcW w:w="1593" w:type="dxa"/>
            <w:shd w:val="clear" w:color="auto" w:fill="auto"/>
            <w:noWrap/>
            <w:vAlign w:val="center"/>
            <w:hideMark/>
          </w:tcPr>
          <w:p w14:paraId="4ECCED2B" w14:textId="77777777" w:rsidR="00E274B3" w:rsidRPr="00350989" w:rsidRDefault="00E274B3" w:rsidP="000D7F61">
            <w:pPr>
              <w:spacing w:after="0"/>
              <w:rPr>
                <w:rFonts w:eastAsia="Times New Roman"/>
                <w:color w:val="000000"/>
                <w:sz w:val="20"/>
                <w:lang w:eastAsia="el-GR"/>
              </w:rPr>
            </w:pPr>
            <w:r w:rsidRPr="00350989">
              <w:rPr>
                <w:rFonts w:eastAsia="Times New Roman"/>
                <w:color w:val="000000"/>
                <w:sz w:val="20"/>
                <w:lang w:eastAsia="el-GR"/>
              </w:rPr>
              <w:t>32</w:t>
            </w:r>
          </w:p>
        </w:tc>
      </w:tr>
      <w:tr w:rsidR="009672E6" w:rsidRPr="00350989" w14:paraId="54ECDC6E" w14:textId="77777777" w:rsidTr="00097C11">
        <w:trPr>
          <w:trHeight w:val="20"/>
        </w:trPr>
        <w:tc>
          <w:tcPr>
            <w:tcW w:w="2810" w:type="dxa"/>
            <w:shd w:val="clear" w:color="auto" w:fill="auto"/>
            <w:noWrap/>
            <w:vAlign w:val="center"/>
            <w:hideMark/>
          </w:tcPr>
          <w:p w14:paraId="49250B6E" w14:textId="77777777" w:rsidR="00E274B3" w:rsidRPr="00350989" w:rsidRDefault="00E274B3" w:rsidP="000D7F61">
            <w:pPr>
              <w:spacing w:after="0"/>
              <w:rPr>
                <w:rFonts w:eastAsia="Times New Roman"/>
                <w:color w:val="000000"/>
                <w:sz w:val="20"/>
                <w:lang w:eastAsia="el-GR"/>
              </w:rPr>
            </w:pPr>
            <w:proofErr w:type="spellStart"/>
            <w:r w:rsidRPr="00350989">
              <w:rPr>
                <w:rFonts w:eastAsia="Times New Roman"/>
                <w:color w:val="000000"/>
                <w:sz w:val="20"/>
                <w:lang w:eastAsia="el-GR"/>
              </w:rPr>
              <w:t>Neapolis</w:t>
            </w:r>
            <w:proofErr w:type="spellEnd"/>
            <w:r w:rsidRPr="00350989">
              <w:rPr>
                <w:rFonts w:eastAsia="Times New Roman"/>
                <w:color w:val="000000"/>
                <w:sz w:val="20"/>
                <w:lang w:eastAsia="el-GR"/>
              </w:rPr>
              <w:t xml:space="preserve"> University</w:t>
            </w:r>
          </w:p>
        </w:tc>
        <w:tc>
          <w:tcPr>
            <w:tcW w:w="1592" w:type="dxa"/>
            <w:shd w:val="clear" w:color="auto" w:fill="auto"/>
            <w:noWrap/>
            <w:vAlign w:val="center"/>
            <w:hideMark/>
          </w:tcPr>
          <w:p w14:paraId="2D3454E0" w14:textId="77777777" w:rsidR="00E274B3" w:rsidRPr="00350989" w:rsidRDefault="00E274B3" w:rsidP="000D7F61">
            <w:pPr>
              <w:spacing w:after="0"/>
              <w:rPr>
                <w:rFonts w:eastAsia="Times New Roman"/>
                <w:color w:val="000000"/>
                <w:sz w:val="20"/>
                <w:lang w:eastAsia="el-GR"/>
              </w:rPr>
            </w:pPr>
            <w:r w:rsidRPr="00350989">
              <w:rPr>
                <w:rFonts w:eastAsia="Times New Roman"/>
                <w:color w:val="000000"/>
                <w:sz w:val="20"/>
                <w:lang w:eastAsia="el-GR"/>
              </w:rPr>
              <w:t>1</w:t>
            </w:r>
          </w:p>
        </w:tc>
        <w:tc>
          <w:tcPr>
            <w:tcW w:w="1593" w:type="dxa"/>
            <w:shd w:val="clear" w:color="auto" w:fill="auto"/>
            <w:noWrap/>
            <w:vAlign w:val="center"/>
            <w:hideMark/>
          </w:tcPr>
          <w:p w14:paraId="4BA8EE04" w14:textId="77777777" w:rsidR="00E274B3" w:rsidRPr="00350989" w:rsidRDefault="00E274B3" w:rsidP="000D7F61">
            <w:pPr>
              <w:spacing w:after="0"/>
              <w:rPr>
                <w:rFonts w:eastAsia="Times New Roman"/>
                <w:color w:val="000000"/>
                <w:sz w:val="20"/>
                <w:lang w:eastAsia="el-GR"/>
              </w:rPr>
            </w:pPr>
            <w:r w:rsidRPr="00350989">
              <w:rPr>
                <w:rFonts w:eastAsia="Times New Roman"/>
                <w:color w:val="000000"/>
                <w:sz w:val="20"/>
                <w:lang w:eastAsia="el-GR"/>
              </w:rPr>
              <w:t>3</w:t>
            </w:r>
          </w:p>
        </w:tc>
        <w:tc>
          <w:tcPr>
            <w:tcW w:w="1592" w:type="dxa"/>
            <w:shd w:val="clear" w:color="auto" w:fill="auto"/>
            <w:noWrap/>
            <w:vAlign w:val="center"/>
            <w:hideMark/>
          </w:tcPr>
          <w:p w14:paraId="2ABFE4B9" w14:textId="77777777" w:rsidR="00E274B3" w:rsidRPr="00350989" w:rsidRDefault="00E274B3" w:rsidP="000D7F61">
            <w:pPr>
              <w:spacing w:after="0"/>
              <w:rPr>
                <w:rFonts w:eastAsia="Times New Roman"/>
                <w:color w:val="000000"/>
                <w:sz w:val="20"/>
                <w:lang w:eastAsia="el-GR"/>
              </w:rPr>
            </w:pPr>
            <w:r w:rsidRPr="00350989">
              <w:rPr>
                <w:rFonts w:eastAsia="Times New Roman"/>
                <w:color w:val="000000"/>
                <w:sz w:val="20"/>
                <w:lang w:eastAsia="el-GR"/>
              </w:rPr>
              <w:t>6</w:t>
            </w:r>
          </w:p>
        </w:tc>
        <w:tc>
          <w:tcPr>
            <w:tcW w:w="1593" w:type="dxa"/>
            <w:shd w:val="clear" w:color="auto" w:fill="auto"/>
            <w:noWrap/>
            <w:vAlign w:val="center"/>
            <w:hideMark/>
          </w:tcPr>
          <w:p w14:paraId="1EB65BCF" w14:textId="77777777" w:rsidR="00E274B3" w:rsidRPr="00350989" w:rsidRDefault="00E274B3" w:rsidP="000D7F61">
            <w:pPr>
              <w:spacing w:after="0"/>
              <w:rPr>
                <w:rFonts w:eastAsia="Times New Roman"/>
                <w:color w:val="000000"/>
                <w:sz w:val="20"/>
                <w:lang w:eastAsia="el-GR"/>
              </w:rPr>
            </w:pPr>
            <w:r w:rsidRPr="00350989">
              <w:rPr>
                <w:rFonts w:eastAsia="Times New Roman"/>
                <w:color w:val="000000"/>
                <w:sz w:val="20"/>
                <w:lang w:eastAsia="el-GR"/>
              </w:rPr>
              <w:t>5</w:t>
            </w:r>
          </w:p>
        </w:tc>
      </w:tr>
      <w:tr w:rsidR="009672E6" w:rsidRPr="00350989" w14:paraId="213BCF24" w14:textId="77777777" w:rsidTr="00097C11">
        <w:trPr>
          <w:trHeight w:val="20"/>
        </w:trPr>
        <w:tc>
          <w:tcPr>
            <w:tcW w:w="2810" w:type="dxa"/>
            <w:shd w:val="clear" w:color="auto" w:fill="auto"/>
            <w:noWrap/>
            <w:vAlign w:val="center"/>
            <w:hideMark/>
          </w:tcPr>
          <w:p w14:paraId="1DD145B3" w14:textId="77777777" w:rsidR="00E274B3" w:rsidRPr="00350989" w:rsidRDefault="00E274B3" w:rsidP="000D7F61">
            <w:pPr>
              <w:spacing w:after="0"/>
              <w:rPr>
                <w:rFonts w:eastAsia="Times New Roman"/>
                <w:color w:val="000000"/>
                <w:sz w:val="20"/>
                <w:lang w:eastAsia="el-GR"/>
              </w:rPr>
            </w:pPr>
            <w:r w:rsidRPr="00350989">
              <w:rPr>
                <w:rFonts w:eastAsia="Times New Roman"/>
                <w:color w:val="000000"/>
                <w:sz w:val="20"/>
                <w:lang w:eastAsia="el-GR"/>
              </w:rPr>
              <w:t>Frederick University</w:t>
            </w:r>
          </w:p>
        </w:tc>
        <w:tc>
          <w:tcPr>
            <w:tcW w:w="1592" w:type="dxa"/>
            <w:shd w:val="clear" w:color="auto" w:fill="auto"/>
            <w:noWrap/>
            <w:vAlign w:val="center"/>
            <w:hideMark/>
          </w:tcPr>
          <w:p w14:paraId="006BA06C" w14:textId="77777777" w:rsidR="00E274B3" w:rsidRPr="00350989" w:rsidRDefault="00E274B3" w:rsidP="000D7F61">
            <w:pPr>
              <w:spacing w:after="0"/>
              <w:rPr>
                <w:sz w:val="20"/>
              </w:rPr>
            </w:pPr>
            <w:r w:rsidRPr="00350989">
              <w:rPr>
                <w:rFonts w:eastAsia="Times New Roman"/>
                <w:color w:val="000000"/>
                <w:sz w:val="20"/>
                <w:lang w:eastAsia="el-GR"/>
              </w:rPr>
              <w:t>Not provided</w:t>
            </w:r>
          </w:p>
        </w:tc>
        <w:tc>
          <w:tcPr>
            <w:tcW w:w="1593" w:type="dxa"/>
            <w:shd w:val="clear" w:color="auto" w:fill="auto"/>
            <w:noWrap/>
            <w:vAlign w:val="center"/>
            <w:hideMark/>
          </w:tcPr>
          <w:p w14:paraId="3BF61225" w14:textId="77777777" w:rsidR="00E274B3" w:rsidRPr="00350989" w:rsidRDefault="00E274B3" w:rsidP="000D7F61">
            <w:pPr>
              <w:spacing w:after="0"/>
              <w:rPr>
                <w:sz w:val="20"/>
              </w:rPr>
            </w:pPr>
            <w:r w:rsidRPr="00350989">
              <w:rPr>
                <w:rFonts w:eastAsia="Times New Roman"/>
                <w:color w:val="000000"/>
                <w:sz w:val="20"/>
                <w:lang w:eastAsia="el-GR"/>
              </w:rPr>
              <w:t>Not provided</w:t>
            </w:r>
          </w:p>
        </w:tc>
        <w:tc>
          <w:tcPr>
            <w:tcW w:w="1592" w:type="dxa"/>
            <w:shd w:val="clear" w:color="auto" w:fill="auto"/>
            <w:noWrap/>
            <w:vAlign w:val="center"/>
            <w:hideMark/>
          </w:tcPr>
          <w:p w14:paraId="6A22F726" w14:textId="77777777" w:rsidR="00E274B3" w:rsidRPr="00350989" w:rsidRDefault="00E274B3" w:rsidP="000D7F61">
            <w:pPr>
              <w:spacing w:after="0"/>
              <w:rPr>
                <w:sz w:val="20"/>
              </w:rPr>
            </w:pPr>
            <w:r w:rsidRPr="00350989">
              <w:rPr>
                <w:rFonts w:eastAsia="Times New Roman"/>
                <w:color w:val="000000"/>
                <w:sz w:val="20"/>
                <w:lang w:eastAsia="el-GR"/>
              </w:rPr>
              <w:t>Not provided</w:t>
            </w:r>
          </w:p>
        </w:tc>
        <w:tc>
          <w:tcPr>
            <w:tcW w:w="1593" w:type="dxa"/>
            <w:shd w:val="clear" w:color="auto" w:fill="auto"/>
            <w:noWrap/>
            <w:vAlign w:val="center"/>
            <w:hideMark/>
          </w:tcPr>
          <w:p w14:paraId="5A704CB6" w14:textId="77777777" w:rsidR="00E274B3" w:rsidRPr="00350989" w:rsidRDefault="00E274B3" w:rsidP="000D7F61">
            <w:pPr>
              <w:spacing w:after="0"/>
              <w:rPr>
                <w:sz w:val="20"/>
              </w:rPr>
            </w:pPr>
            <w:r w:rsidRPr="00350989">
              <w:rPr>
                <w:rFonts w:eastAsia="Times New Roman"/>
                <w:color w:val="000000"/>
                <w:sz w:val="20"/>
                <w:lang w:eastAsia="el-GR"/>
              </w:rPr>
              <w:t>Not provided</w:t>
            </w:r>
          </w:p>
        </w:tc>
      </w:tr>
      <w:tr w:rsidR="009672E6" w:rsidRPr="00350989" w14:paraId="6A689AB6" w14:textId="77777777" w:rsidTr="00097C11">
        <w:trPr>
          <w:trHeight w:val="20"/>
        </w:trPr>
        <w:tc>
          <w:tcPr>
            <w:tcW w:w="2810" w:type="dxa"/>
            <w:shd w:val="clear" w:color="auto" w:fill="auto"/>
            <w:noWrap/>
            <w:vAlign w:val="center"/>
            <w:hideMark/>
          </w:tcPr>
          <w:p w14:paraId="0E865692" w14:textId="77777777" w:rsidR="00E274B3" w:rsidRPr="00350989" w:rsidRDefault="00E274B3" w:rsidP="000D7F61">
            <w:pPr>
              <w:spacing w:after="0"/>
              <w:rPr>
                <w:rFonts w:eastAsia="Times New Roman"/>
                <w:color w:val="000000"/>
                <w:sz w:val="20"/>
                <w:lang w:eastAsia="el-GR"/>
              </w:rPr>
            </w:pPr>
            <w:r w:rsidRPr="00350989">
              <w:rPr>
                <w:rFonts w:eastAsia="Times New Roman"/>
                <w:color w:val="000000"/>
                <w:sz w:val="20"/>
                <w:lang w:eastAsia="el-GR"/>
              </w:rPr>
              <w:t>UCLAN</w:t>
            </w:r>
          </w:p>
        </w:tc>
        <w:tc>
          <w:tcPr>
            <w:tcW w:w="1592" w:type="dxa"/>
            <w:shd w:val="clear" w:color="auto" w:fill="auto"/>
            <w:noWrap/>
            <w:vAlign w:val="center"/>
            <w:hideMark/>
          </w:tcPr>
          <w:p w14:paraId="52B3E53F" w14:textId="77777777" w:rsidR="00E274B3" w:rsidRPr="00350989" w:rsidRDefault="00E274B3" w:rsidP="000D7F61">
            <w:pPr>
              <w:spacing w:after="0"/>
              <w:rPr>
                <w:sz w:val="20"/>
              </w:rPr>
            </w:pPr>
            <w:r w:rsidRPr="00350989">
              <w:rPr>
                <w:rFonts w:eastAsia="Times New Roman"/>
                <w:color w:val="000000"/>
                <w:sz w:val="20"/>
                <w:lang w:eastAsia="el-GR"/>
              </w:rPr>
              <w:t>Not provided</w:t>
            </w:r>
          </w:p>
        </w:tc>
        <w:tc>
          <w:tcPr>
            <w:tcW w:w="1593" w:type="dxa"/>
            <w:shd w:val="clear" w:color="auto" w:fill="auto"/>
            <w:noWrap/>
            <w:vAlign w:val="center"/>
            <w:hideMark/>
          </w:tcPr>
          <w:p w14:paraId="5A6E834B" w14:textId="77777777" w:rsidR="00E274B3" w:rsidRPr="00350989" w:rsidRDefault="00E274B3" w:rsidP="000D7F61">
            <w:pPr>
              <w:spacing w:after="0"/>
              <w:rPr>
                <w:sz w:val="20"/>
              </w:rPr>
            </w:pPr>
            <w:r w:rsidRPr="00350989">
              <w:rPr>
                <w:rFonts w:eastAsia="Times New Roman"/>
                <w:color w:val="000000"/>
                <w:sz w:val="20"/>
                <w:lang w:eastAsia="el-GR"/>
              </w:rPr>
              <w:t>Not provided</w:t>
            </w:r>
          </w:p>
        </w:tc>
        <w:tc>
          <w:tcPr>
            <w:tcW w:w="1592" w:type="dxa"/>
            <w:shd w:val="clear" w:color="auto" w:fill="auto"/>
            <w:noWrap/>
            <w:vAlign w:val="center"/>
            <w:hideMark/>
          </w:tcPr>
          <w:p w14:paraId="5CAFB32E" w14:textId="77777777" w:rsidR="00E274B3" w:rsidRPr="00350989" w:rsidRDefault="00E274B3" w:rsidP="000D7F61">
            <w:pPr>
              <w:spacing w:after="0"/>
              <w:rPr>
                <w:sz w:val="20"/>
              </w:rPr>
            </w:pPr>
            <w:r w:rsidRPr="00350989">
              <w:rPr>
                <w:rFonts w:eastAsia="Times New Roman"/>
                <w:color w:val="000000"/>
                <w:sz w:val="20"/>
                <w:lang w:eastAsia="el-GR"/>
              </w:rPr>
              <w:t>Not provided</w:t>
            </w:r>
          </w:p>
        </w:tc>
        <w:tc>
          <w:tcPr>
            <w:tcW w:w="1593" w:type="dxa"/>
            <w:shd w:val="clear" w:color="auto" w:fill="auto"/>
            <w:noWrap/>
            <w:vAlign w:val="center"/>
            <w:hideMark/>
          </w:tcPr>
          <w:p w14:paraId="5B79CADE" w14:textId="77777777" w:rsidR="00E274B3" w:rsidRPr="00350989" w:rsidRDefault="00E274B3" w:rsidP="000D7F61">
            <w:pPr>
              <w:spacing w:after="0"/>
              <w:rPr>
                <w:sz w:val="20"/>
              </w:rPr>
            </w:pPr>
            <w:r w:rsidRPr="00350989">
              <w:rPr>
                <w:rFonts w:eastAsia="Times New Roman"/>
                <w:color w:val="000000"/>
                <w:sz w:val="20"/>
                <w:lang w:eastAsia="el-GR"/>
              </w:rPr>
              <w:t>Not provided</w:t>
            </w:r>
          </w:p>
        </w:tc>
      </w:tr>
      <w:tr w:rsidR="009672E6" w:rsidRPr="00350989" w14:paraId="1BBCDA84" w14:textId="77777777" w:rsidTr="00097C11">
        <w:trPr>
          <w:trHeight w:val="20"/>
        </w:trPr>
        <w:tc>
          <w:tcPr>
            <w:tcW w:w="2810" w:type="dxa"/>
            <w:shd w:val="clear" w:color="auto" w:fill="auto"/>
            <w:noWrap/>
            <w:vAlign w:val="center"/>
            <w:hideMark/>
          </w:tcPr>
          <w:p w14:paraId="4A041FD1" w14:textId="77777777" w:rsidR="00E274B3" w:rsidRPr="00350989" w:rsidRDefault="00E274B3" w:rsidP="000D7F61">
            <w:pPr>
              <w:spacing w:after="0"/>
              <w:rPr>
                <w:rFonts w:eastAsia="Times New Roman"/>
                <w:b/>
                <w:bCs/>
                <w:color w:val="000000"/>
                <w:sz w:val="20"/>
                <w:lang w:eastAsia="el-GR"/>
              </w:rPr>
            </w:pPr>
            <w:r w:rsidRPr="00350989">
              <w:rPr>
                <w:rFonts w:eastAsia="Times New Roman"/>
                <w:b/>
                <w:bCs/>
                <w:color w:val="000000"/>
                <w:sz w:val="20"/>
                <w:lang w:eastAsia="el-GR"/>
              </w:rPr>
              <w:t>Total</w:t>
            </w:r>
          </w:p>
        </w:tc>
        <w:tc>
          <w:tcPr>
            <w:tcW w:w="1592" w:type="dxa"/>
            <w:shd w:val="clear" w:color="auto" w:fill="auto"/>
            <w:noWrap/>
            <w:vAlign w:val="center"/>
            <w:hideMark/>
          </w:tcPr>
          <w:p w14:paraId="1B457DC1" w14:textId="77777777" w:rsidR="00E274B3" w:rsidRPr="00350989" w:rsidRDefault="00E274B3" w:rsidP="000D7F61">
            <w:pPr>
              <w:spacing w:after="0"/>
              <w:rPr>
                <w:rFonts w:eastAsia="Times New Roman"/>
                <w:b/>
                <w:bCs/>
                <w:color w:val="000000"/>
                <w:sz w:val="20"/>
                <w:lang w:eastAsia="el-GR"/>
              </w:rPr>
            </w:pPr>
            <w:r w:rsidRPr="00350989">
              <w:rPr>
                <w:rFonts w:eastAsia="Times New Roman"/>
                <w:b/>
                <w:bCs/>
                <w:color w:val="000000"/>
                <w:sz w:val="20"/>
                <w:lang w:eastAsia="el-GR"/>
              </w:rPr>
              <w:t>368</w:t>
            </w:r>
          </w:p>
        </w:tc>
        <w:tc>
          <w:tcPr>
            <w:tcW w:w="1593" w:type="dxa"/>
            <w:shd w:val="clear" w:color="auto" w:fill="auto"/>
            <w:noWrap/>
            <w:vAlign w:val="center"/>
            <w:hideMark/>
          </w:tcPr>
          <w:p w14:paraId="53F60D02" w14:textId="77777777" w:rsidR="00E274B3" w:rsidRPr="00350989" w:rsidRDefault="00E274B3" w:rsidP="000D7F61">
            <w:pPr>
              <w:spacing w:after="0"/>
              <w:rPr>
                <w:rFonts w:eastAsia="Times New Roman"/>
                <w:b/>
                <w:bCs/>
                <w:color w:val="000000"/>
                <w:sz w:val="20"/>
                <w:lang w:eastAsia="el-GR"/>
              </w:rPr>
            </w:pPr>
            <w:r w:rsidRPr="00350989">
              <w:rPr>
                <w:rFonts w:eastAsia="Times New Roman"/>
                <w:b/>
                <w:bCs/>
                <w:color w:val="000000"/>
                <w:sz w:val="20"/>
                <w:lang w:eastAsia="el-GR"/>
              </w:rPr>
              <w:t>583</w:t>
            </w:r>
          </w:p>
        </w:tc>
        <w:tc>
          <w:tcPr>
            <w:tcW w:w="1592" w:type="dxa"/>
            <w:shd w:val="clear" w:color="auto" w:fill="auto"/>
            <w:noWrap/>
            <w:vAlign w:val="center"/>
            <w:hideMark/>
          </w:tcPr>
          <w:p w14:paraId="215DF2E6" w14:textId="77777777" w:rsidR="00E274B3" w:rsidRPr="00350989" w:rsidRDefault="00E274B3" w:rsidP="000D7F61">
            <w:pPr>
              <w:spacing w:after="0"/>
              <w:rPr>
                <w:rFonts w:eastAsia="Times New Roman"/>
                <w:b/>
                <w:bCs/>
                <w:color w:val="000000"/>
                <w:sz w:val="20"/>
                <w:lang w:eastAsia="el-GR"/>
              </w:rPr>
            </w:pPr>
            <w:r w:rsidRPr="00350989">
              <w:rPr>
                <w:rFonts w:eastAsia="Times New Roman"/>
                <w:b/>
                <w:bCs/>
                <w:color w:val="000000"/>
                <w:sz w:val="20"/>
                <w:lang w:eastAsia="el-GR"/>
              </w:rPr>
              <w:t>668</w:t>
            </w:r>
          </w:p>
        </w:tc>
        <w:tc>
          <w:tcPr>
            <w:tcW w:w="1593" w:type="dxa"/>
            <w:shd w:val="clear" w:color="auto" w:fill="auto"/>
            <w:noWrap/>
            <w:vAlign w:val="center"/>
            <w:hideMark/>
          </w:tcPr>
          <w:p w14:paraId="2C3C2DFC" w14:textId="77777777" w:rsidR="00E274B3" w:rsidRPr="00350989" w:rsidRDefault="00E274B3" w:rsidP="000D7F61">
            <w:pPr>
              <w:spacing w:after="0"/>
              <w:rPr>
                <w:rFonts w:eastAsia="Times New Roman"/>
                <w:b/>
                <w:bCs/>
                <w:color w:val="000000"/>
                <w:sz w:val="20"/>
                <w:lang w:eastAsia="el-GR"/>
              </w:rPr>
            </w:pPr>
            <w:r w:rsidRPr="00350989">
              <w:rPr>
                <w:rFonts w:eastAsia="Times New Roman"/>
                <w:b/>
                <w:bCs/>
                <w:color w:val="000000"/>
                <w:sz w:val="20"/>
                <w:lang w:eastAsia="el-GR"/>
              </w:rPr>
              <w:t>413</w:t>
            </w:r>
          </w:p>
        </w:tc>
      </w:tr>
    </w:tbl>
    <w:p w14:paraId="3717B5BF" w14:textId="77777777" w:rsidR="00F41137" w:rsidRPr="00350989" w:rsidRDefault="00F41137" w:rsidP="000D7F61">
      <w:pPr>
        <w:spacing w:after="0"/>
        <w:rPr>
          <w:b/>
        </w:rPr>
      </w:pPr>
    </w:p>
    <w:p w14:paraId="23A43848" w14:textId="77777777" w:rsidR="00F210EB" w:rsidRPr="00350989" w:rsidRDefault="001B09D7" w:rsidP="000D7F61">
      <w:pPr>
        <w:spacing w:after="0"/>
      </w:pPr>
      <w:r w:rsidRPr="00350989">
        <w:t>Detailed data on numbers of students per disabi</w:t>
      </w:r>
      <w:r w:rsidR="00F210EB" w:rsidRPr="00350989">
        <w:t>lity in each university can be f</w:t>
      </w:r>
      <w:r w:rsidRPr="00350989">
        <w:t xml:space="preserve">ound in Appendix I. These data provide evidence of a notable </w:t>
      </w:r>
      <w:r w:rsidR="00F210EB" w:rsidRPr="00350989">
        <w:t>prevalence of students with learning disabilities (that are even specified to dyslexia in some universities) as well as higher number of students with Health and Psycho/Emotional Difficulties.</w:t>
      </w:r>
    </w:p>
    <w:p w14:paraId="6E0FD81A" w14:textId="77777777" w:rsidR="00F210EB" w:rsidRPr="00350989" w:rsidRDefault="00F210EB" w:rsidP="000D7F61">
      <w:pPr>
        <w:spacing w:after="0"/>
      </w:pPr>
    </w:p>
    <w:p w14:paraId="70E25541" w14:textId="77777777" w:rsidR="00E274B3" w:rsidRPr="00350989" w:rsidRDefault="00E274B3" w:rsidP="000D7F61">
      <w:pPr>
        <w:spacing w:after="0"/>
      </w:pPr>
      <w:r w:rsidRPr="00350989">
        <w:t>It should be noted that terminology and categorization used in the</w:t>
      </w:r>
      <w:r w:rsidR="00F210EB" w:rsidRPr="00350989">
        <w:t xml:space="preserve"> appendix</w:t>
      </w:r>
      <w:r w:rsidRPr="00350989">
        <w:t xml:space="preserve"> tables is the exact terminology (or exact translation) of language used by each university’s student welfare service </w:t>
      </w:r>
      <w:r w:rsidRPr="00350989">
        <w:rPr>
          <w:i/>
        </w:rPr>
        <w:t>per se</w:t>
      </w:r>
      <w:r w:rsidR="009A596D" w:rsidRPr="00350989">
        <w:t xml:space="preserve"> and may not be precisely comparable</w:t>
      </w:r>
      <w:r w:rsidR="0090706E" w:rsidRPr="00350989">
        <w:t>.</w:t>
      </w:r>
    </w:p>
    <w:p w14:paraId="35ED8989" w14:textId="77777777" w:rsidR="0090706E" w:rsidRPr="00350989" w:rsidRDefault="0090706E" w:rsidP="000D7F61">
      <w:pPr>
        <w:spacing w:after="0"/>
      </w:pPr>
    </w:p>
    <w:p w14:paraId="74C22E66" w14:textId="77777777" w:rsidR="00EB54C7" w:rsidRPr="00350989" w:rsidRDefault="005C65DC" w:rsidP="00BA68F1">
      <w:pPr>
        <w:pStyle w:val="Heading2"/>
      </w:pPr>
      <w:bookmarkStart w:id="21" w:name="_Toc440298954"/>
      <w:bookmarkStart w:id="22" w:name="_Toc483409961"/>
      <w:r w:rsidRPr="00350989">
        <w:t>Poverty</w:t>
      </w:r>
      <w:r w:rsidR="00D939BF" w:rsidRPr="00350989">
        <w:t xml:space="preserve"> and social exclusion data</w:t>
      </w:r>
      <w:bookmarkEnd w:id="21"/>
      <w:bookmarkEnd w:id="22"/>
    </w:p>
    <w:p w14:paraId="587AF2E5" w14:textId="77777777" w:rsidR="0090706E" w:rsidRPr="00350989" w:rsidRDefault="0090706E" w:rsidP="000D7F61">
      <w:pPr>
        <w:pStyle w:val="BodyText"/>
        <w:spacing w:after="0"/>
      </w:pPr>
    </w:p>
    <w:p w14:paraId="2F841652" w14:textId="0AC860B5" w:rsidR="00A43D96" w:rsidRPr="00350989" w:rsidRDefault="00855CD2" w:rsidP="000D7F61">
      <w:pPr>
        <w:spacing w:after="0"/>
      </w:pPr>
      <w:r w:rsidRPr="00350989">
        <w:t>EU SILC data provides indicators of the key risks for people with disabilities. In addition to household risks of low work intensity, there are risks of low income (after social transfers), and material deprivation. These three measures are combined in the overall estimate of risk. The risks for older people do not include work intensity (Eurostat refers to the age group 0-59 for this measure). The survey does not distinguish ‘activity limitation’ (the proxy for impairment/disability) for children under the age of 16. Relevant data provided by the national e</w:t>
      </w:r>
      <w:r w:rsidR="00D126EE" w:rsidRPr="00350989">
        <w:t>xpert is added where available.</w:t>
      </w:r>
    </w:p>
    <w:p w14:paraId="795914F6" w14:textId="77777777" w:rsidR="00A43D96" w:rsidRPr="00350989" w:rsidRDefault="00A43D96" w:rsidP="000D7F61">
      <w:pPr>
        <w:spacing w:after="0"/>
      </w:pPr>
    </w:p>
    <w:p w14:paraId="7359E20E" w14:textId="77777777" w:rsidR="00BA68F1" w:rsidRPr="00350989" w:rsidRDefault="00BA68F1">
      <w:pPr>
        <w:spacing w:after="0"/>
        <w:rPr>
          <w:b/>
          <w:bCs/>
        </w:rPr>
      </w:pPr>
      <w:r w:rsidRPr="00350989">
        <w:rPr>
          <w:b/>
          <w:bCs/>
        </w:rPr>
        <w:br w:type="page"/>
      </w:r>
    </w:p>
    <w:p w14:paraId="45BC317A" w14:textId="7801AD14" w:rsidR="00855CD2" w:rsidRPr="00350989" w:rsidRDefault="00855CD2" w:rsidP="000D7F61">
      <w:pPr>
        <w:spacing w:after="0"/>
        <w:rPr>
          <w:b/>
          <w:bCs/>
        </w:rPr>
      </w:pPr>
      <w:r w:rsidRPr="00350989">
        <w:rPr>
          <w:b/>
          <w:bCs/>
        </w:rPr>
        <w:lastRenderedPageBreak/>
        <w:t xml:space="preserve">Table </w:t>
      </w:r>
      <w:r w:rsidRPr="00350989">
        <w:rPr>
          <w:b/>
          <w:bCs/>
        </w:rPr>
        <w:fldChar w:fldCharType="begin"/>
      </w:r>
      <w:r w:rsidRPr="00350989">
        <w:rPr>
          <w:b/>
          <w:bCs/>
        </w:rPr>
        <w:instrText xml:space="preserve"> SEQ Table \* ARABIC </w:instrText>
      </w:r>
      <w:r w:rsidRPr="00350989">
        <w:rPr>
          <w:b/>
          <w:bCs/>
        </w:rPr>
        <w:fldChar w:fldCharType="separate"/>
      </w:r>
      <w:r w:rsidRPr="00350989">
        <w:rPr>
          <w:b/>
          <w:bCs/>
          <w:noProof/>
        </w:rPr>
        <w:t>17</w:t>
      </w:r>
      <w:r w:rsidRPr="00350989">
        <w:rPr>
          <w:b/>
          <w:bCs/>
          <w:noProof/>
        </w:rPr>
        <w:fldChar w:fldCharType="end"/>
      </w:r>
      <w:r w:rsidRPr="00350989">
        <w:rPr>
          <w:b/>
          <w:bCs/>
        </w:rPr>
        <w:t>: People living in household poverty and exclusion by disability and risk (aged 16-59)</w:t>
      </w:r>
    </w:p>
    <w:p w14:paraId="5FC2EA5D" w14:textId="77777777" w:rsidR="00855CD2" w:rsidRPr="00350989" w:rsidRDefault="00855CD2" w:rsidP="000D7F61">
      <w:pPr>
        <w:spacing w:after="0"/>
      </w:pPr>
      <w:r w:rsidRPr="00350989">
        <w:rPr>
          <w:noProof/>
          <w:lang w:val="nl-NL" w:eastAsia="nl-NL"/>
        </w:rPr>
        <w:drawing>
          <wp:inline distT="0" distB="0" distL="0" distR="0" wp14:anchorId="18B2CE9B" wp14:editId="1EACD6E5">
            <wp:extent cx="5486400" cy="2590800"/>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3A5D1D8" w14:textId="77777777" w:rsidR="00855CD2" w:rsidRPr="00350989" w:rsidRDefault="00855CD2" w:rsidP="000D7F61">
      <w:pPr>
        <w:spacing w:after="0"/>
        <w:rPr>
          <w:i/>
          <w:sz w:val="20"/>
          <w:lang w:eastAsia="en-GB"/>
        </w:rPr>
      </w:pPr>
      <w:r w:rsidRPr="00350989">
        <w:rPr>
          <w:i/>
          <w:sz w:val="20"/>
        </w:rPr>
        <w:t xml:space="preserve">Source: </w:t>
      </w:r>
      <w:r w:rsidRPr="00350989">
        <w:rPr>
          <w:i/>
          <w:sz w:val="20"/>
          <w:lang w:eastAsia="en-GB"/>
        </w:rPr>
        <w:t>EUSILC UDB 2014 – version 2 of August 2016</w:t>
      </w:r>
    </w:p>
    <w:p w14:paraId="6560071D" w14:textId="77777777" w:rsidR="00D126EE" w:rsidRPr="00350989" w:rsidRDefault="00D126EE" w:rsidP="000D7F61">
      <w:pPr>
        <w:spacing w:after="0"/>
        <w:rPr>
          <w:b/>
          <w:bCs/>
        </w:rPr>
      </w:pPr>
    </w:p>
    <w:p w14:paraId="1B702011" w14:textId="79F2742E" w:rsidR="00855CD2" w:rsidRPr="00350989" w:rsidRDefault="00855CD2" w:rsidP="000D7F61">
      <w:pPr>
        <w:spacing w:after="0"/>
        <w:rPr>
          <w:b/>
          <w:bCs/>
        </w:rPr>
      </w:pPr>
      <w:r w:rsidRPr="00350989">
        <w:rPr>
          <w:b/>
          <w:bCs/>
        </w:rPr>
        <w:t xml:space="preserve">Table </w:t>
      </w:r>
      <w:r w:rsidRPr="00350989">
        <w:rPr>
          <w:b/>
          <w:bCs/>
        </w:rPr>
        <w:fldChar w:fldCharType="begin"/>
      </w:r>
      <w:r w:rsidRPr="00350989">
        <w:rPr>
          <w:b/>
          <w:bCs/>
        </w:rPr>
        <w:instrText xml:space="preserve"> SEQ Table \* ARABIC </w:instrText>
      </w:r>
      <w:r w:rsidRPr="00350989">
        <w:rPr>
          <w:b/>
          <w:bCs/>
        </w:rPr>
        <w:fldChar w:fldCharType="separate"/>
      </w:r>
      <w:r w:rsidRPr="00350989">
        <w:rPr>
          <w:b/>
          <w:bCs/>
          <w:noProof/>
        </w:rPr>
        <w:t>18</w:t>
      </w:r>
      <w:r w:rsidRPr="00350989">
        <w:rPr>
          <w:b/>
          <w:bCs/>
          <w:noProof/>
        </w:rPr>
        <w:fldChar w:fldCharType="end"/>
      </w:r>
      <w:r w:rsidRPr="00350989">
        <w:rPr>
          <w:b/>
          <w:bCs/>
        </w:rPr>
        <w:t>: People living in household poverty and exclusion by disability and gender (aged 16+)</w:t>
      </w:r>
    </w:p>
    <w:p w14:paraId="378AE26D" w14:textId="77777777" w:rsidR="00855CD2" w:rsidRPr="00350989" w:rsidRDefault="00855CD2" w:rsidP="000D7F61">
      <w:pPr>
        <w:spacing w:after="0"/>
      </w:pPr>
      <w:r w:rsidRPr="00350989">
        <w:rPr>
          <w:noProof/>
          <w:lang w:val="nl-NL" w:eastAsia="nl-NL"/>
        </w:rPr>
        <w:drawing>
          <wp:inline distT="0" distB="0" distL="0" distR="0" wp14:anchorId="67BCC6B6" wp14:editId="502024CF">
            <wp:extent cx="5581934" cy="2361062"/>
            <wp:effectExtent l="0" t="0" r="0" b="127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61D368E" w14:textId="77777777" w:rsidR="00855CD2" w:rsidRPr="00350989" w:rsidRDefault="00855CD2" w:rsidP="000D7F61">
      <w:pPr>
        <w:spacing w:after="0"/>
        <w:rPr>
          <w:i/>
          <w:sz w:val="20"/>
          <w:lang w:eastAsia="en-GB"/>
        </w:rPr>
      </w:pPr>
      <w:r w:rsidRPr="00350989">
        <w:rPr>
          <w:i/>
          <w:sz w:val="20"/>
        </w:rPr>
        <w:t xml:space="preserve">Source: </w:t>
      </w:r>
      <w:r w:rsidRPr="00350989">
        <w:rPr>
          <w:i/>
          <w:sz w:val="20"/>
          <w:lang w:eastAsia="en-GB"/>
        </w:rPr>
        <w:t>EUSILC UDB 2014 – version 2 of August 2016</w:t>
      </w:r>
    </w:p>
    <w:p w14:paraId="09C2BFF4" w14:textId="77777777" w:rsidR="00855CD2" w:rsidRPr="00350989" w:rsidRDefault="00855CD2" w:rsidP="000D7F61">
      <w:pPr>
        <w:spacing w:after="0"/>
        <w:rPr>
          <w:sz w:val="20"/>
        </w:rPr>
      </w:pPr>
    </w:p>
    <w:p w14:paraId="0F4AA95E" w14:textId="77777777" w:rsidR="00855CD2" w:rsidRPr="00350989" w:rsidRDefault="00855CD2" w:rsidP="000D7F61">
      <w:pPr>
        <w:spacing w:after="0"/>
        <w:rPr>
          <w:b/>
          <w:bCs/>
        </w:rPr>
      </w:pPr>
      <w:r w:rsidRPr="00350989">
        <w:br w:type="page"/>
      </w:r>
    </w:p>
    <w:p w14:paraId="3E5037B1" w14:textId="77777777" w:rsidR="00855CD2" w:rsidRPr="00350989" w:rsidRDefault="00855CD2" w:rsidP="000D7F61">
      <w:pPr>
        <w:spacing w:after="0"/>
        <w:rPr>
          <w:b/>
          <w:bCs/>
        </w:rPr>
      </w:pPr>
      <w:r w:rsidRPr="00350989">
        <w:rPr>
          <w:b/>
          <w:bCs/>
        </w:rPr>
        <w:lastRenderedPageBreak/>
        <w:t xml:space="preserve">Table </w:t>
      </w:r>
      <w:r w:rsidRPr="00350989">
        <w:rPr>
          <w:b/>
          <w:bCs/>
        </w:rPr>
        <w:fldChar w:fldCharType="begin"/>
      </w:r>
      <w:r w:rsidRPr="00350989">
        <w:rPr>
          <w:b/>
          <w:bCs/>
        </w:rPr>
        <w:instrText xml:space="preserve"> SEQ Table \* ARABIC </w:instrText>
      </w:r>
      <w:r w:rsidRPr="00350989">
        <w:rPr>
          <w:b/>
          <w:bCs/>
        </w:rPr>
        <w:fldChar w:fldCharType="separate"/>
      </w:r>
      <w:r w:rsidRPr="00350989">
        <w:rPr>
          <w:b/>
          <w:bCs/>
          <w:noProof/>
        </w:rPr>
        <w:t>19</w:t>
      </w:r>
      <w:r w:rsidRPr="00350989">
        <w:rPr>
          <w:b/>
          <w:bCs/>
          <w:noProof/>
        </w:rPr>
        <w:fldChar w:fldCharType="end"/>
      </w:r>
      <w:r w:rsidRPr="00350989">
        <w:rPr>
          <w:b/>
          <w:bCs/>
        </w:rPr>
        <w:t>: Overall risk of household poverty or exclusion by disability and age (aged 16+)</w:t>
      </w:r>
    </w:p>
    <w:p w14:paraId="26755226" w14:textId="77777777" w:rsidR="00855CD2" w:rsidRPr="00350989" w:rsidRDefault="00855CD2" w:rsidP="000D7F61">
      <w:pPr>
        <w:spacing w:after="0"/>
      </w:pPr>
      <w:r w:rsidRPr="00350989">
        <w:rPr>
          <w:noProof/>
          <w:lang w:val="nl-NL" w:eastAsia="nl-NL"/>
        </w:rPr>
        <w:drawing>
          <wp:inline distT="0" distB="0" distL="0" distR="0" wp14:anchorId="7C30FA3A" wp14:editId="7DFC8BE3">
            <wp:extent cx="5486400" cy="2590800"/>
            <wp:effectExtent l="0" t="0" r="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DDD5544" w14:textId="625D2FC3" w:rsidR="00855CD2" w:rsidRPr="00350989" w:rsidRDefault="00855CD2" w:rsidP="000D7F61">
      <w:pPr>
        <w:spacing w:after="0"/>
        <w:rPr>
          <w:i/>
          <w:sz w:val="20"/>
          <w:lang w:eastAsia="en-GB"/>
        </w:rPr>
      </w:pPr>
      <w:r w:rsidRPr="00350989">
        <w:rPr>
          <w:i/>
          <w:sz w:val="20"/>
        </w:rPr>
        <w:t xml:space="preserve">Source: </w:t>
      </w:r>
      <w:r w:rsidRPr="00350989">
        <w:rPr>
          <w:i/>
          <w:sz w:val="20"/>
          <w:lang w:eastAsia="en-GB"/>
        </w:rPr>
        <w:t>EUSILC UDB 2014 – version 2 of August 2016</w:t>
      </w:r>
    </w:p>
    <w:p w14:paraId="2BFE406E" w14:textId="77777777" w:rsidR="00D126EE" w:rsidRPr="00350989" w:rsidRDefault="00D126EE" w:rsidP="000D7F61">
      <w:pPr>
        <w:spacing w:after="0"/>
        <w:rPr>
          <w:i/>
          <w:lang w:eastAsia="en-GB"/>
        </w:rPr>
      </w:pPr>
    </w:p>
    <w:p w14:paraId="2F1D0D43" w14:textId="77777777" w:rsidR="00855CD2" w:rsidRPr="00350989" w:rsidRDefault="00855CD2" w:rsidP="000D7F61">
      <w:pPr>
        <w:spacing w:after="0"/>
        <w:rPr>
          <w:b/>
          <w:bCs/>
        </w:rPr>
      </w:pPr>
      <w:r w:rsidRPr="00350989">
        <w:rPr>
          <w:b/>
          <w:bCs/>
        </w:rPr>
        <w:t xml:space="preserve">Table </w:t>
      </w:r>
      <w:r w:rsidRPr="00350989">
        <w:rPr>
          <w:b/>
          <w:bCs/>
        </w:rPr>
        <w:fldChar w:fldCharType="begin"/>
      </w:r>
      <w:r w:rsidRPr="00350989">
        <w:rPr>
          <w:b/>
          <w:bCs/>
        </w:rPr>
        <w:instrText xml:space="preserve"> SEQ Table \* ARABIC </w:instrText>
      </w:r>
      <w:r w:rsidRPr="00350989">
        <w:rPr>
          <w:b/>
          <w:bCs/>
        </w:rPr>
        <w:fldChar w:fldCharType="separate"/>
      </w:r>
      <w:r w:rsidRPr="00350989">
        <w:rPr>
          <w:b/>
          <w:bCs/>
          <w:noProof/>
        </w:rPr>
        <w:t>20</w:t>
      </w:r>
      <w:r w:rsidRPr="00350989">
        <w:rPr>
          <w:b/>
          <w:bCs/>
          <w:noProof/>
        </w:rPr>
        <w:fldChar w:fldCharType="end"/>
      </w:r>
      <w:r w:rsidRPr="00350989">
        <w:rPr>
          <w:b/>
          <w:bCs/>
        </w:rPr>
        <w:t>: Trends in household risk of poverty and exclusion by disability and age (EU-SILC 2014)</w:t>
      </w:r>
    </w:p>
    <w:p w14:paraId="08928B0D" w14:textId="77777777" w:rsidR="00855CD2" w:rsidRPr="00350989" w:rsidRDefault="00855CD2" w:rsidP="000D7F61">
      <w:pPr>
        <w:spacing w:after="0"/>
      </w:pPr>
      <w:r w:rsidRPr="00350989">
        <w:rPr>
          <w:noProof/>
          <w:lang w:val="nl-NL" w:eastAsia="nl-NL"/>
        </w:rPr>
        <w:drawing>
          <wp:inline distT="0" distB="0" distL="0" distR="0" wp14:anchorId="5C8F7761" wp14:editId="06E39E15">
            <wp:extent cx="5486400" cy="4043083"/>
            <wp:effectExtent l="0" t="0" r="19050" b="1460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8ED1EAD" w14:textId="77777777" w:rsidR="00855CD2" w:rsidRPr="00350989" w:rsidRDefault="00855CD2" w:rsidP="000D7F61">
      <w:pPr>
        <w:spacing w:after="0"/>
        <w:rPr>
          <w:i/>
          <w:sz w:val="20"/>
          <w:lang w:eastAsia="en-GB"/>
        </w:rPr>
      </w:pPr>
      <w:r w:rsidRPr="00350989">
        <w:rPr>
          <w:i/>
          <w:sz w:val="20"/>
        </w:rPr>
        <w:t xml:space="preserve">Source: </w:t>
      </w:r>
      <w:r w:rsidRPr="00350989">
        <w:rPr>
          <w:i/>
          <w:sz w:val="20"/>
          <w:lang w:eastAsia="en-GB"/>
        </w:rPr>
        <w:t>EUSILC UDB 2014 – version 2 of August 2016 (and previous UDB)</w:t>
      </w:r>
    </w:p>
    <w:p w14:paraId="65FB6BD3" w14:textId="526CE31C" w:rsidR="00855CD2" w:rsidRPr="00350989" w:rsidRDefault="00855CD2" w:rsidP="00D126EE">
      <w:pPr>
        <w:spacing w:after="0" w:line="276" w:lineRule="auto"/>
        <w:rPr>
          <w:i/>
          <w:sz w:val="20"/>
        </w:rPr>
      </w:pPr>
      <w:r w:rsidRPr="00350989">
        <w:rPr>
          <w:i/>
          <w:sz w:val="20"/>
        </w:rPr>
        <w:t>* There is some missi</w:t>
      </w:r>
      <w:r w:rsidR="00D126EE" w:rsidRPr="00350989">
        <w:rPr>
          <w:i/>
          <w:sz w:val="20"/>
        </w:rPr>
        <w:t>ng data in the trend for Cyprus</w:t>
      </w:r>
    </w:p>
    <w:p w14:paraId="36519A17" w14:textId="77777777" w:rsidR="00D126EE" w:rsidRPr="00350989" w:rsidRDefault="00D126EE" w:rsidP="00D126EE">
      <w:pPr>
        <w:spacing w:after="0" w:line="276" w:lineRule="auto"/>
        <w:rPr>
          <w:i/>
        </w:rPr>
      </w:pPr>
    </w:p>
    <w:p w14:paraId="79646B1F" w14:textId="77777777" w:rsidR="00755A21" w:rsidRPr="00350989" w:rsidRDefault="0010423F" w:rsidP="000D7F61">
      <w:pPr>
        <w:spacing w:after="0"/>
        <w:rPr>
          <w:b/>
          <w:bCs/>
        </w:rPr>
      </w:pPr>
      <w:r w:rsidRPr="00350989">
        <w:rPr>
          <w:b/>
          <w:bCs/>
        </w:rPr>
        <w:lastRenderedPageBreak/>
        <w:t xml:space="preserve">Alternative </w:t>
      </w:r>
      <w:r w:rsidR="00CC6322" w:rsidRPr="00350989">
        <w:rPr>
          <w:b/>
          <w:bCs/>
        </w:rPr>
        <w:t xml:space="preserve">data on disability and </w:t>
      </w:r>
      <w:r w:rsidR="007360E6" w:rsidRPr="00350989">
        <w:rPr>
          <w:b/>
          <w:bCs/>
        </w:rPr>
        <w:t>risk</w:t>
      </w:r>
      <w:r w:rsidR="00803568" w:rsidRPr="00350989">
        <w:rPr>
          <w:b/>
          <w:bCs/>
        </w:rPr>
        <w:t xml:space="preserve"> of poverty or social exclusion</w:t>
      </w:r>
      <w:r w:rsidR="007360E6" w:rsidRPr="00350989">
        <w:rPr>
          <w:b/>
          <w:bCs/>
        </w:rPr>
        <w:t xml:space="preserve"> </w:t>
      </w:r>
      <w:r w:rsidR="00803568" w:rsidRPr="00350989">
        <w:rPr>
          <w:b/>
          <w:bCs/>
        </w:rPr>
        <w:t>provided by the national expert</w:t>
      </w:r>
      <w:r w:rsidRPr="00350989">
        <w:rPr>
          <w:b/>
          <w:bCs/>
        </w:rPr>
        <w:t>:</w:t>
      </w:r>
    </w:p>
    <w:p w14:paraId="1C6E6C90" w14:textId="77777777" w:rsidR="0090706E" w:rsidRPr="00350989" w:rsidRDefault="0090706E" w:rsidP="000D7F61">
      <w:pPr>
        <w:spacing w:after="0"/>
        <w:rPr>
          <w:b/>
          <w:bCs/>
        </w:rPr>
      </w:pPr>
    </w:p>
    <w:p w14:paraId="5347A428" w14:textId="77777777" w:rsidR="00337329" w:rsidRPr="00350989" w:rsidRDefault="009A596D" w:rsidP="000D7F61">
      <w:pPr>
        <w:spacing w:after="0"/>
      </w:pPr>
      <w:r w:rsidRPr="00350989">
        <w:t xml:space="preserve">No alternative data </w:t>
      </w:r>
      <w:r w:rsidR="005A485B" w:rsidRPr="00350989">
        <w:t>specific to</w:t>
      </w:r>
      <w:r w:rsidRPr="00350989">
        <w:t xml:space="preserve"> disability and poverty risk were identified from the national sources accessed for this report.</w:t>
      </w:r>
      <w:r w:rsidR="005A485B" w:rsidRPr="00350989">
        <w:t xml:space="preserve"> </w:t>
      </w:r>
    </w:p>
    <w:p w14:paraId="7E71762F" w14:textId="77777777" w:rsidR="00337329" w:rsidRPr="00350989" w:rsidRDefault="00337329" w:rsidP="000D7F61">
      <w:pPr>
        <w:spacing w:after="0"/>
      </w:pPr>
    </w:p>
    <w:p w14:paraId="61CFD93D" w14:textId="77777777" w:rsidR="00B2465C" w:rsidRPr="00350989" w:rsidRDefault="0010423F" w:rsidP="001A4BE6">
      <w:pPr>
        <w:pStyle w:val="Heading1"/>
      </w:pPr>
      <w:bookmarkStart w:id="23" w:name="_Toc440298955"/>
      <w:bookmarkStart w:id="24" w:name="_Toc483409962"/>
      <w:r w:rsidRPr="00350989">
        <w:lastRenderedPageBreak/>
        <w:t>Description of the situation and trends in relation to each target area</w:t>
      </w:r>
      <w:bookmarkEnd w:id="23"/>
      <w:bookmarkEnd w:id="24"/>
    </w:p>
    <w:p w14:paraId="7DCDF636" w14:textId="59A4DF3C" w:rsidR="0090706E" w:rsidRPr="00350989" w:rsidRDefault="0090706E" w:rsidP="000D7F61">
      <w:pPr>
        <w:spacing w:after="0"/>
      </w:pPr>
    </w:p>
    <w:p w14:paraId="73A45B8F" w14:textId="77777777" w:rsidR="00BA68F1" w:rsidRPr="00350989" w:rsidRDefault="00984A47" w:rsidP="00984A47">
      <w:pPr>
        <w:spacing w:after="0"/>
        <w:rPr>
          <w:lang w:eastAsia="en-GB"/>
        </w:rPr>
      </w:pPr>
      <w:r w:rsidRPr="00350989">
        <w:rPr>
          <w:lang w:eastAsia="en-GB"/>
        </w:rPr>
        <w:t>Disability is mentioned 21 times in the Cyprus national Partnership Agreements for the ESIF period 2014-2020, in the Greek</w:t>
      </w:r>
      <w:r w:rsidR="00BA68F1" w:rsidRPr="00350989">
        <w:rPr>
          <w:lang w:eastAsia="en-GB"/>
        </w:rPr>
        <w:t>:</w:t>
      </w:r>
      <w:r w:rsidRPr="00350989">
        <w:rPr>
          <w:rStyle w:val="FootnoteReference"/>
          <w:lang w:eastAsia="en-GB"/>
        </w:rPr>
        <w:footnoteReference w:id="18"/>
      </w:r>
    </w:p>
    <w:p w14:paraId="5BEB1DD9" w14:textId="5A7272A0" w:rsidR="00984A47" w:rsidRPr="00350989" w:rsidRDefault="00984A47" w:rsidP="00984A47">
      <w:pPr>
        <w:spacing w:after="0"/>
        <w:rPr>
          <w:lang w:eastAsia="en-GB"/>
        </w:rPr>
      </w:pPr>
      <w:r w:rsidRPr="00350989">
        <w:rPr>
          <w:lang w:eastAsia="en-GB"/>
        </w:rPr>
        <w:t xml:space="preserve"> </w:t>
      </w:r>
    </w:p>
    <w:p w14:paraId="65E4EC51" w14:textId="064C85E1" w:rsidR="00984A47" w:rsidRPr="00350989" w:rsidRDefault="00984A47" w:rsidP="00C256BC">
      <w:pPr>
        <w:numPr>
          <w:ilvl w:val="0"/>
          <w:numId w:val="4"/>
        </w:numPr>
        <w:spacing w:after="0"/>
        <w:ind w:left="567" w:hanging="567"/>
        <w:rPr>
          <w:lang w:eastAsia="en-GB"/>
        </w:rPr>
      </w:pPr>
      <w:r w:rsidRPr="00350989">
        <w:rPr>
          <w:lang w:eastAsia="en-GB"/>
        </w:rPr>
        <w:t xml:space="preserve">7 in relation to </w:t>
      </w:r>
      <w:r w:rsidR="00BA68F1" w:rsidRPr="00350989">
        <w:rPr>
          <w:lang w:eastAsia="en-GB"/>
        </w:rPr>
        <w:t>Employment and Human Resources;</w:t>
      </w:r>
    </w:p>
    <w:p w14:paraId="1A4ABB24" w14:textId="7B2FB04B" w:rsidR="00984A47" w:rsidRPr="00350989" w:rsidRDefault="00984A47" w:rsidP="00C256BC">
      <w:pPr>
        <w:numPr>
          <w:ilvl w:val="0"/>
          <w:numId w:val="4"/>
        </w:numPr>
        <w:spacing w:after="0"/>
        <w:ind w:left="567" w:hanging="567"/>
        <w:rPr>
          <w:lang w:eastAsia="en-GB"/>
        </w:rPr>
      </w:pPr>
      <w:r w:rsidRPr="00350989">
        <w:rPr>
          <w:lang w:eastAsia="en-GB"/>
        </w:rPr>
        <w:t>1 in the table of the assessment of expected results</w:t>
      </w:r>
      <w:r w:rsidR="00BA68F1" w:rsidRPr="00350989">
        <w:rPr>
          <w:lang w:eastAsia="en-GB"/>
        </w:rPr>
        <w:t>;</w:t>
      </w:r>
      <w:r w:rsidRPr="00350989">
        <w:rPr>
          <w:lang w:eastAsia="en-GB"/>
        </w:rPr>
        <w:t xml:space="preserve"> </w:t>
      </w:r>
    </w:p>
    <w:p w14:paraId="3FFA1424" w14:textId="34B9EECB" w:rsidR="00984A47" w:rsidRPr="00350989" w:rsidRDefault="00984A47" w:rsidP="00C256BC">
      <w:pPr>
        <w:numPr>
          <w:ilvl w:val="0"/>
          <w:numId w:val="4"/>
        </w:numPr>
        <w:spacing w:after="0"/>
        <w:ind w:left="567" w:hanging="567"/>
        <w:rPr>
          <w:lang w:eastAsia="en-GB"/>
        </w:rPr>
      </w:pPr>
      <w:r w:rsidRPr="00350989">
        <w:rPr>
          <w:lang w:eastAsia="en-GB"/>
        </w:rPr>
        <w:t>5 in the description of the thematic targets mainly under themat</w:t>
      </w:r>
      <w:r w:rsidR="00BA68F1" w:rsidRPr="00350989">
        <w:rPr>
          <w:lang w:eastAsia="en-GB"/>
        </w:rPr>
        <w:t>ic target 9 – social inclusion;</w:t>
      </w:r>
    </w:p>
    <w:p w14:paraId="77E38E87" w14:textId="6C974C96" w:rsidR="00984A47" w:rsidRPr="00350989" w:rsidRDefault="00984A47" w:rsidP="00C256BC">
      <w:pPr>
        <w:numPr>
          <w:ilvl w:val="0"/>
          <w:numId w:val="4"/>
        </w:numPr>
        <w:spacing w:after="0"/>
        <w:ind w:left="567" w:hanging="567"/>
        <w:rPr>
          <w:lang w:eastAsia="en-GB"/>
        </w:rPr>
      </w:pPr>
      <w:r w:rsidRPr="00350989">
        <w:rPr>
          <w:lang w:eastAsia="en-GB"/>
        </w:rPr>
        <w:t>7 under the section on the Non-Discrimination Authority mainly in rela</w:t>
      </w:r>
      <w:r w:rsidR="00BA68F1" w:rsidRPr="00350989">
        <w:rPr>
          <w:lang w:eastAsia="en-GB"/>
        </w:rPr>
        <w:t>tion to issues of accessibility;</w:t>
      </w:r>
    </w:p>
    <w:p w14:paraId="6FDFCEFF" w14:textId="6DF6BF2B" w:rsidR="00984A47" w:rsidRPr="00350989" w:rsidRDefault="00984A47" w:rsidP="00C256BC">
      <w:pPr>
        <w:numPr>
          <w:ilvl w:val="0"/>
          <w:numId w:val="4"/>
        </w:numPr>
        <w:spacing w:after="0"/>
        <w:ind w:left="567" w:hanging="567"/>
        <w:rPr>
          <w:lang w:eastAsia="en-GB"/>
        </w:rPr>
      </w:pPr>
      <w:r w:rsidRPr="00350989">
        <w:rPr>
          <w:lang w:eastAsia="en-GB"/>
        </w:rPr>
        <w:t>1 under the description of areas of vulnerable groups</w:t>
      </w:r>
      <w:r w:rsidR="00BA68F1" w:rsidRPr="00350989">
        <w:rPr>
          <w:lang w:eastAsia="en-GB"/>
        </w:rPr>
        <w:t>.</w:t>
      </w:r>
    </w:p>
    <w:p w14:paraId="7814F383" w14:textId="77777777" w:rsidR="00984A47" w:rsidRPr="00350989" w:rsidRDefault="00984A47" w:rsidP="00984A47">
      <w:pPr>
        <w:spacing w:after="0"/>
        <w:rPr>
          <w:lang w:eastAsia="en-GB"/>
        </w:rPr>
      </w:pPr>
    </w:p>
    <w:p w14:paraId="56CED190" w14:textId="77777777" w:rsidR="00984A47" w:rsidRPr="00350989" w:rsidRDefault="00984A47" w:rsidP="00984A47">
      <w:pPr>
        <w:spacing w:after="0"/>
        <w:rPr>
          <w:lang w:eastAsia="en-GB"/>
        </w:rPr>
      </w:pPr>
      <w:r w:rsidRPr="00350989">
        <w:rPr>
          <w:lang w:eastAsia="en-GB"/>
        </w:rPr>
        <w:t>Most of the above references are used as part of the terminology of the National Disability Actin Plan and National Disability Strategy, as well as the name of the Department or Social Inclusion for People with Disabilities.</w:t>
      </w:r>
    </w:p>
    <w:p w14:paraId="574A6D95" w14:textId="77777777" w:rsidR="00984A47" w:rsidRPr="00350989" w:rsidRDefault="00984A47" w:rsidP="00984A47">
      <w:pPr>
        <w:spacing w:after="0"/>
        <w:rPr>
          <w:lang w:eastAsia="en-GB"/>
        </w:rPr>
      </w:pPr>
    </w:p>
    <w:p w14:paraId="5D5AD906" w14:textId="77777777" w:rsidR="00984A47" w:rsidRPr="00350989" w:rsidRDefault="00984A47" w:rsidP="00984A47">
      <w:pPr>
        <w:spacing w:after="0"/>
        <w:rPr>
          <w:lang w:eastAsia="en-GB"/>
        </w:rPr>
      </w:pPr>
      <w:r w:rsidRPr="00350989">
        <w:rPr>
          <w:lang w:eastAsia="en-GB"/>
        </w:rPr>
        <w:t>For 2014-2020 the Operational Programme of “Sustainable Development and Competitiveness” does not make any specific reference to people with disabilities in the Beneficiaries List according to the various Priority Axes and Projects.</w:t>
      </w:r>
      <w:r w:rsidRPr="00350989">
        <w:rPr>
          <w:rStyle w:val="FootnoteReference"/>
          <w:lang w:eastAsia="en-GB"/>
        </w:rPr>
        <w:footnoteReference w:id="19"/>
      </w:r>
      <w:r w:rsidRPr="00350989">
        <w:rPr>
          <w:lang w:eastAsia="en-GB"/>
        </w:rPr>
        <w:t xml:space="preserve"> On the other hand, the Operational Programme of “Employment, Human Capital and Social Cohesion” includes people with disabilities in the beneficiaries of Priority Axis 3: Combating Poverty and Social Exclusion in (a) Project: System for the Evaluation of Functionality and Disability), and (b) Project: Incentives to industry for new employment positions: for vulnerable groups including people with disabilities. </w:t>
      </w:r>
    </w:p>
    <w:p w14:paraId="0144AA9A" w14:textId="77777777" w:rsidR="00984A47" w:rsidRPr="00350989" w:rsidRDefault="00984A47" w:rsidP="00984A47">
      <w:pPr>
        <w:spacing w:after="0"/>
        <w:rPr>
          <w:lang w:eastAsia="en-GB"/>
        </w:rPr>
      </w:pPr>
    </w:p>
    <w:p w14:paraId="42518D3E" w14:textId="01E4A64C" w:rsidR="00984A47" w:rsidRPr="00350989" w:rsidRDefault="00984A47" w:rsidP="00984A47">
      <w:pPr>
        <w:spacing w:after="0"/>
        <w:rPr>
          <w:lang w:eastAsia="en-GB"/>
        </w:rPr>
      </w:pPr>
      <w:r w:rsidRPr="00350989">
        <w:rPr>
          <w:lang w:eastAsia="en-GB"/>
        </w:rPr>
        <w:t>The latest available Annual Progress Report (June 2016),</w:t>
      </w:r>
      <w:r w:rsidRPr="00350989">
        <w:rPr>
          <w:rStyle w:val="FootnoteReference"/>
          <w:lang w:eastAsia="en-GB"/>
        </w:rPr>
        <w:footnoteReference w:id="20"/>
      </w:r>
      <w:r w:rsidRPr="00350989">
        <w:rPr>
          <w:lang w:eastAsia="en-GB"/>
        </w:rPr>
        <w:t xml:space="preserve"> refers to disability in the Priority Axis on combating poverty and promoting social inclusion (p. 8) in the description of the new system for the assessment of functionality and disability. The system was funded by ESIF and 1140 individuals have been assessed till the end of 2015. Till 2023 the aim is 14500 persons with disabilities to be benefited under the ESIF for the priority of combating poverty and promoting social inclusion</w:t>
      </w:r>
      <w:r w:rsidR="00BA68F1" w:rsidRPr="00350989">
        <w:rPr>
          <w:lang w:eastAsia="en-GB"/>
        </w:rPr>
        <w:t>.</w:t>
      </w:r>
      <w:r w:rsidRPr="00350989">
        <w:rPr>
          <w:rStyle w:val="FootnoteReference"/>
          <w:lang w:eastAsia="en-GB"/>
        </w:rPr>
        <w:footnoteReference w:id="21"/>
      </w:r>
      <w:r w:rsidRPr="00350989">
        <w:rPr>
          <w:lang w:eastAsia="en-GB"/>
        </w:rPr>
        <w:t xml:space="preserve"> </w:t>
      </w:r>
    </w:p>
    <w:p w14:paraId="4DA45F50" w14:textId="77777777" w:rsidR="00984A47" w:rsidRPr="00350989" w:rsidRDefault="00984A47" w:rsidP="00984A47">
      <w:pPr>
        <w:spacing w:after="0"/>
        <w:rPr>
          <w:i/>
          <w:lang w:eastAsia="en-GB"/>
        </w:rPr>
      </w:pPr>
    </w:p>
    <w:p w14:paraId="35E9528F" w14:textId="047BED75" w:rsidR="00984A47" w:rsidRPr="00350989" w:rsidRDefault="00984A47" w:rsidP="00984A47">
      <w:pPr>
        <w:spacing w:after="0"/>
        <w:rPr>
          <w:lang w:eastAsia="en-GB"/>
        </w:rPr>
      </w:pPr>
      <w:proofErr w:type="spellStart"/>
      <w:r w:rsidRPr="00350989">
        <w:lastRenderedPageBreak/>
        <w:t>Τ</w:t>
      </w:r>
      <w:r w:rsidRPr="00350989">
        <w:rPr>
          <w:lang w:eastAsia="en-GB"/>
        </w:rPr>
        <w:t>he</w:t>
      </w:r>
      <w:proofErr w:type="spellEnd"/>
      <w:r w:rsidRPr="00350989">
        <w:rPr>
          <w:lang w:eastAsia="en-GB"/>
        </w:rPr>
        <w:t xml:space="preserve"> Evaluation Plan</w:t>
      </w:r>
      <w:r w:rsidRPr="00350989">
        <w:rPr>
          <w:vertAlign w:val="superscript"/>
        </w:rPr>
        <w:footnoteReference w:id="22"/>
      </w:r>
      <w:r w:rsidR="009A0575" w:rsidRPr="00350989">
        <w:rPr>
          <w:lang w:eastAsia="en-GB"/>
        </w:rPr>
        <w:t xml:space="preserve"> f</w:t>
      </w:r>
      <w:r w:rsidRPr="00350989">
        <w:rPr>
          <w:lang w:eastAsia="en-GB"/>
        </w:rPr>
        <w:t>or both Operational Programmes – “Sustainable Development and Competitiveness” and “Employment, Human Capital and Social Cohesion” – for 2014-2020 includes issues of disability in objectives on Promotion of Social Inclusion and combating poverty and discrimination (p. 11), specifically referring to evaluation of the policy of the OPs for promoting gender equality, and equal opportunities for access of people with disabilities (p. 31). Specifically, for the evaluation of the impact of the interventions in the spectrum of both the OP indicative questions for evaluation include issues of impact on the opportunities provided for people with disabilities in relation to equal opportunities on access (p. 51), on education, on positive actions that included people with disabilities such as inclusion in the labour market, and examples of good and bad practices for including/excluding people with disabilities (p. 55). The evaluation plan with respect to the impact of the interventions within both OP on issues of people with disabilities is anticipated to begin in 2019 (table page 58 of the Plan document), with duration of about 8 months and the cost of €</w:t>
      </w:r>
      <w:r w:rsidR="00185E73">
        <w:rPr>
          <w:lang w:eastAsia="en-GB"/>
        </w:rPr>
        <w:t> </w:t>
      </w:r>
      <w:r w:rsidRPr="00350989">
        <w:rPr>
          <w:lang w:eastAsia="en-GB"/>
        </w:rPr>
        <w:t>70.000.</w:t>
      </w:r>
    </w:p>
    <w:p w14:paraId="53111143" w14:textId="77777777" w:rsidR="00984A47" w:rsidRPr="00350989" w:rsidRDefault="00984A47" w:rsidP="00984A47">
      <w:pPr>
        <w:spacing w:after="0"/>
        <w:rPr>
          <w:lang w:eastAsia="en-GB"/>
        </w:rPr>
      </w:pPr>
    </w:p>
    <w:p w14:paraId="50D024F6" w14:textId="3D27B80E" w:rsidR="00984A47" w:rsidRPr="00350989" w:rsidRDefault="00984A47" w:rsidP="00984A47">
      <w:pPr>
        <w:spacing w:after="0"/>
        <w:rPr>
          <w:lang w:eastAsia="en-GB"/>
        </w:rPr>
      </w:pPr>
      <w:r w:rsidRPr="00350989">
        <w:rPr>
          <w:lang w:eastAsia="en-GB"/>
        </w:rPr>
        <w:t>The Evaluation Report of the “Service Provision for the Estimation of the Interventions of the Common Support of the ESIF and the Youth Employment Initiative Including the Implementation of the “Guarantee for the Youth” regarding the Inclusion Young People in the Labour Market” (Operational Programme: Employment, Human Capital and Social Cohesion)</w:t>
      </w:r>
      <w:r w:rsidR="00BA68F1" w:rsidRPr="00350989">
        <w:rPr>
          <w:lang w:eastAsia="en-GB"/>
        </w:rPr>
        <w:t>,</w:t>
      </w:r>
      <w:r w:rsidRPr="00350989">
        <w:rPr>
          <w:rStyle w:val="FootnoteReference"/>
          <w:lang w:eastAsia="en-GB"/>
        </w:rPr>
        <w:footnoteReference w:id="23"/>
      </w:r>
      <w:r w:rsidRPr="00350989">
        <w:rPr>
          <w:lang w:eastAsia="en-GB"/>
        </w:rPr>
        <w:t xml:space="preserve"> has examined disability issues and showed that the Youth Employment Initiative does not make any specific reference to marginalised groups (including people with disability) </w:t>
      </w:r>
    </w:p>
    <w:p w14:paraId="52CAB0DF" w14:textId="77777777" w:rsidR="009A0575" w:rsidRPr="00350989" w:rsidRDefault="009A0575" w:rsidP="00984A47">
      <w:pPr>
        <w:spacing w:after="0"/>
        <w:rPr>
          <w:lang w:eastAsia="en-GB"/>
        </w:rPr>
      </w:pPr>
    </w:p>
    <w:p w14:paraId="2F463708" w14:textId="5B1BC112" w:rsidR="00984A47" w:rsidRPr="00350989" w:rsidRDefault="00984A47" w:rsidP="00984A47">
      <w:pPr>
        <w:spacing w:after="0"/>
        <w:rPr>
          <w:lang w:eastAsia="en-GB"/>
        </w:rPr>
      </w:pPr>
      <w:r w:rsidRPr="00350989">
        <w:rPr>
          <w:lang w:eastAsia="en-GB"/>
        </w:rPr>
        <w:t>No Evaluation Reports for the Operational Programme: “Sustainable Development and Competitiveness for 2014-2020 are yet available on the website of the Cyprus Structural Funds.</w:t>
      </w:r>
    </w:p>
    <w:p w14:paraId="33B9F0AB" w14:textId="77777777" w:rsidR="00984A47" w:rsidRPr="00350989" w:rsidRDefault="00984A47" w:rsidP="00984A47">
      <w:pPr>
        <w:spacing w:after="0"/>
        <w:rPr>
          <w:lang w:eastAsia="en-GB"/>
        </w:rPr>
      </w:pPr>
    </w:p>
    <w:p w14:paraId="7F52A3E3" w14:textId="77777777" w:rsidR="00984A47" w:rsidRPr="00350989" w:rsidRDefault="00984A47" w:rsidP="00984A47">
      <w:pPr>
        <w:spacing w:after="0"/>
        <w:rPr>
          <w:lang w:eastAsia="en-GB"/>
        </w:rPr>
      </w:pPr>
      <w:r w:rsidRPr="00350989">
        <w:rPr>
          <w:lang w:eastAsia="en-GB"/>
        </w:rPr>
        <w:t>The older evaluation reports (2007-2013) are not available any more. Information can be found on the 2015 ANED EU2020 country report.</w:t>
      </w:r>
    </w:p>
    <w:p w14:paraId="2514F995" w14:textId="77777777" w:rsidR="00984A47" w:rsidRPr="00350989" w:rsidRDefault="00984A47" w:rsidP="000D7F61">
      <w:pPr>
        <w:spacing w:after="0"/>
      </w:pPr>
    </w:p>
    <w:p w14:paraId="616B7BE3" w14:textId="77777777" w:rsidR="0010423F" w:rsidRPr="00350989" w:rsidRDefault="0010423F" w:rsidP="00BA68F1">
      <w:pPr>
        <w:pStyle w:val="Heading2"/>
      </w:pPr>
      <w:bookmarkStart w:id="25" w:name="_Toc440298956"/>
      <w:bookmarkStart w:id="26" w:name="_Toc483409963"/>
      <w:r w:rsidRPr="00350989">
        <w:t>Employment</w:t>
      </w:r>
      <w:bookmarkEnd w:id="25"/>
      <w:bookmarkEnd w:id="26"/>
    </w:p>
    <w:p w14:paraId="737CA07C" w14:textId="77777777" w:rsidR="0090706E" w:rsidRPr="00350989" w:rsidRDefault="0090706E" w:rsidP="000D7F61">
      <w:pPr>
        <w:spacing w:after="0"/>
      </w:pPr>
    </w:p>
    <w:p w14:paraId="0F2599E7" w14:textId="3C2819B1" w:rsidR="009A596D" w:rsidRPr="00350989" w:rsidRDefault="008A596F" w:rsidP="000D7F61">
      <w:pPr>
        <w:spacing w:after="0"/>
      </w:pPr>
      <w:r w:rsidRPr="00350989">
        <w:t>According to the SILC data presented earlier, t</w:t>
      </w:r>
      <w:r w:rsidR="009A596D" w:rsidRPr="00350989">
        <w:t>he employment rates for disabled women and men in Cyprus fall slightly below the EU average, and across the life course, with the exception of estimates for those with severe limitations (impairments) although small numbers may affect the relia</w:t>
      </w:r>
      <w:r w:rsidR="00775294" w:rsidRPr="00350989">
        <w:t xml:space="preserve">bility of this data in Cyprus. </w:t>
      </w:r>
      <w:r w:rsidR="009A596D" w:rsidRPr="00350989">
        <w:t xml:space="preserve">There are some gaps in the national time series data but the employment trend for </w:t>
      </w:r>
      <w:r w:rsidRPr="00350989">
        <w:t xml:space="preserve">both </w:t>
      </w:r>
      <w:r w:rsidR="009A596D" w:rsidRPr="00350989">
        <w:t xml:space="preserve">disabled and non-disabled people has been downward during the period of the economic crisis. </w:t>
      </w:r>
      <w:r w:rsidR="004A3965" w:rsidRPr="00350989">
        <w:t>While economic activity rates track the EU average</w:t>
      </w:r>
      <w:r w:rsidRPr="00350989">
        <w:t>,</w:t>
      </w:r>
      <w:r w:rsidR="004A3965" w:rsidRPr="00350989">
        <w:t xml:space="preserve"> u</w:t>
      </w:r>
      <w:r w:rsidR="00DA3342" w:rsidRPr="00350989">
        <w:t xml:space="preserve">nemployment </w:t>
      </w:r>
      <w:r w:rsidR="00DA3342" w:rsidRPr="00350989">
        <w:lastRenderedPageBreak/>
        <w:t>is high, and has risen sharply for disabled people as it has for non-disabled peo</w:t>
      </w:r>
      <w:r w:rsidR="00775294" w:rsidRPr="00350989">
        <w:t>ple, notably for disabled men.</w:t>
      </w:r>
    </w:p>
    <w:p w14:paraId="308DF947" w14:textId="77777777" w:rsidR="00680047" w:rsidRPr="00350989" w:rsidRDefault="00680047" w:rsidP="000D7F61">
      <w:pPr>
        <w:spacing w:after="0"/>
      </w:pPr>
    </w:p>
    <w:p w14:paraId="51A0E1C6" w14:textId="1174FD13" w:rsidR="00411E67" w:rsidRPr="00350989" w:rsidRDefault="00680047" w:rsidP="000D7F61">
      <w:pPr>
        <w:spacing w:after="0"/>
      </w:pPr>
      <w:r w:rsidRPr="00350989">
        <w:t>Data in table 5 in section 2.2, show a decrease in the employment trend rates between 2011 and 201</w:t>
      </w:r>
      <w:r w:rsidR="00A43D96" w:rsidRPr="00350989">
        <w:t>4</w:t>
      </w:r>
      <w:r w:rsidRPr="00350989">
        <w:t xml:space="preserve">. At this point it may worth </w:t>
      </w:r>
      <w:r w:rsidR="008A596F" w:rsidRPr="00350989">
        <w:t>noting</w:t>
      </w:r>
      <w:r w:rsidRPr="00350989">
        <w:t xml:space="preserve"> that according to data in Table 5.1 from national sources, in 2013 </w:t>
      </w:r>
      <w:r w:rsidR="008A596F" w:rsidRPr="00350989">
        <w:t>fewer</w:t>
      </w:r>
      <w:r w:rsidRPr="00350989">
        <w:t xml:space="preserve"> people were benefited from the employment schemes, though with a</w:t>
      </w:r>
      <w:r w:rsidR="008A596F" w:rsidRPr="00350989">
        <w:t xml:space="preserve"> similar</w:t>
      </w:r>
      <w:r w:rsidRPr="00350989">
        <w:t xml:space="preserve"> average amount of funding as 2012 and 2014. Moreover, according to the macro figures </w:t>
      </w:r>
      <w:r w:rsidR="008A596F" w:rsidRPr="00350989">
        <w:t>from</w:t>
      </w:r>
      <w:r w:rsidRPr="00350989">
        <w:t xml:space="preserve"> the Ministry of Finance 2005-2019</w:t>
      </w:r>
      <w:r w:rsidR="009A0575" w:rsidRPr="00350989">
        <w:t>,</w:t>
      </w:r>
      <w:r w:rsidRPr="00350989">
        <w:rPr>
          <w:rStyle w:val="FootnoteReference"/>
        </w:rPr>
        <w:footnoteReference w:id="24"/>
      </w:r>
      <w:r w:rsidRPr="00350989">
        <w:t xml:space="preserve"> the general population employment rate was estimate to drop -2.3</w:t>
      </w:r>
      <w:r w:rsidR="009A0575" w:rsidRPr="00350989">
        <w:t xml:space="preserve"> %</w:t>
      </w:r>
      <w:r w:rsidRPr="00350989">
        <w:t xml:space="preserve"> in 2014 and </w:t>
      </w:r>
      <w:r w:rsidR="008A596F" w:rsidRPr="00350989">
        <w:t>to</w:t>
      </w:r>
      <w:r w:rsidRPr="00350989">
        <w:t xml:space="preserve"> increase 0.9</w:t>
      </w:r>
      <w:r w:rsidR="009A0575" w:rsidRPr="00350989">
        <w:t xml:space="preserve"> %</w:t>
      </w:r>
      <w:r w:rsidRPr="00350989">
        <w:t xml:space="preserve"> in 2015, where an increase of 1.2</w:t>
      </w:r>
      <w:r w:rsidR="009A0575" w:rsidRPr="00350989">
        <w:t xml:space="preserve"> %</w:t>
      </w:r>
      <w:r w:rsidRPr="00350989">
        <w:t xml:space="preserve"> was expected for 2016 and 1.5</w:t>
      </w:r>
      <w:r w:rsidR="009A0575" w:rsidRPr="00350989">
        <w:t xml:space="preserve"> %</w:t>
      </w:r>
      <w:r w:rsidRPr="00350989">
        <w:t xml:space="preserve"> for 2017. The same data provide an indication of decrease in employment rates of previous years as well.</w:t>
      </w:r>
      <w:r w:rsidR="00411E67" w:rsidRPr="00350989">
        <w:t xml:space="preserve"> According to the same figures, the general unemployment rate was estimated to increase by 16.1</w:t>
      </w:r>
      <w:r w:rsidR="009A0575" w:rsidRPr="00350989">
        <w:t xml:space="preserve"> %</w:t>
      </w:r>
      <w:r w:rsidR="00411E67" w:rsidRPr="00350989">
        <w:t xml:space="preserve"> in 2014 and by 15</w:t>
      </w:r>
      <w:r w:rsidR="009A0575" w:rsidRPr="00350989">
        <w:t xml:space="preserve"> %</w:t>
      </w:r>
      <w:r w:rsidR="00411E67" w:rsidRPr="00350989">
        <w:t xml:space="preserve"> in 2015, where an increase of 13.5</w:t>
      </w:r>
      <w:r w:rsidR="009A0575" w:rsidRPr="00350989">
        <w:t xml:space="preserve"> %</w:t>
      </w:r>
      <w:r w:rsidR="00411E67" w:rsidRPr="00350989">
        <w:t xml:space="preserve"> was predicted for 2016 and 12.5</w:t>
      </w:r>
      <w:r w:rsidR="009A0575" w:rsidRPr="00350989">
        <w:t xml:space="preserve"> %</w:t>
      </w:r>
      <w:r w:rsidR="00411E67" w:rsidRPr="00350989">
        <w:t xml:space="preserve"> for 2017. However these indicators are not specified to people with disabilities or other particular groups, but they support the high increase in employment and unemployment presented in Tables 5 and 8. This is especially true for the years after 2013 when Cyprus entered period of financial crisis.</w:t>
      </w:r>
    </w:p>
    <w:p w14:paraId="24023FA0" w14:textId="77777777" w:rsidR="00680047" w:rsidRPr="00350989" w:rsidRDefault="00680047" w:rsidP="000D7F61">
      <w:pPr>
        <w:spacing w:after="0"/>
      </w:pPr>
    </w:p>
    <w:p w14:paraId="054F96AD" w14:textId="4A80712C" w:rsidR="004B4A7C" w:rsidRPr="00350989" w:rsidRDefault="00172D08" w:rsidP="000D7F61">
      <w:pPr>
        <w:spacing w:after="0"/>
      </w:pPr>
      <w:r w:rsidRPr="00350989">
        <w:rPr>
          <w:shd w:val="clear" w:color="auto" w:fill="FFFFFF"/>
        </w:rPr>
        <w:t>In light of the data presented</w:t>
      </w:r>
      <w:r w:rsidR="006643BF" w:rsidRPr="00350989">
        <w:rPr>
          <w:shd w:val="clear" w:color="auto" w:fill="FFFFFF"/>
        </w:rPr>
        <w:t xml:space="preserve">, particular emphasis needs to be given to enhancing </w:t>
      </w:r>
      <w:r w:rsidR="002E4DA7" w:rsidRPr="00350989">
        <w:rPr>
          <w:shd w:val="clear" w:color="auto" w:fill="FFFFFF"/>
        </w:rPr>
        <w:t xml:space="preserve">disability </w:t>
      </w:r>
      <w:r w:rsidR="006643BF" w:rsidRPr="00350989">
        <w:rPr>
          <w:shd w:val="clear" w:color="auto" w:fill="FFFFFF"/>
        </w:rPr>
        <w:t xml:space="preserve">access to </w:t>
      </w:r>
      <w:r w:rsidRPr="00350989">
        <w:rPr>
          <w:shd w:val="clear" w:color="auto" w:fill="FFFFFF"/>
        </w:rPr>
        <w:t xml:space="preserve">the </w:t>
      </w:r>
      <w:r w:rsidR="006643BF" w:rsidRPr="00350989">
        <w:rPr>
          <w:shd w:val="clear" w:color="auto" w:fill="FFFFFF"/>
        </w:rPr>
        <w:t>labour</w:t>
      </w:r>
      <w:r w:rsidRPr="00350989">
        <w:rPr>
          <w:shd w:val="clear" w:color="auto" w:fill="FFFFFF"/>
        </w:rPr>
        <w:t xml:space="preserve"> market</w:t>
      </w:r>
      <w:r w:rsidR="006643BF" w:rsidRPr="00350989">
        <w:rPr>
          <w:shd w:val="clear" w:color="auto" w:fill="FFFFFF"/>
        </w:rPr>
        <w:t>. This can be achieved by providing more incentives along with training opportunities</w:t>
      </w:r>
      <w:r w:rsidR="002E4DA7" w:rsidRPr="00350989">
        <w:rPr>
          <w:shd w:val="clear" w:color="auto" w:fill="FFFFFF"/>
        </w:rPr>
        <w:t xml:space="preserve"> in order</w:t>
      </w:r>
      <w:r w:rsidR="00A05063" w:rsidRPr="00350989">
        <w:rPr>
          <w:shd w:val="clear" w:color="auto" w:fill="FFFFFF"/>
        </w:rPr>
        <w:t xml:space="preserve"> to enhance </w:t>
      </w:r>
      <w:r w:rsidR="002E4DA7" w:rsidRPr="00350989">
        <w:rPr>
          <w:shd w:val="clear" w:color="auto" w:fill="FFFFFF"/>
        </w:rPr>
        <w:t xml:space="preserve">the </w:t>
      </w:r>
      <w:r w:rsidR="00A05063" w:rsidRPr="00350989">
        <w:rPr>
          <w:shd w:val="clear" w:color="auto" w:fill="FFFFFF"/>
        </w:rPr>
        <w:t>access</w:t>
      </w:r>
      <w:r w:rsidR="002E4DA7" w:rsidRPr="00350989">
        <w:rPr>
          <w:shd w:val="clear" w:color="auto" w:fill="FFFFFF"/>
        </w:rPr>
        <w:t xml:space="preserve"> of disabled people</w:t>
      </w:r>
      <w:r w:rsidR="00A05063" w:rsidRPr="00350989">
        <w:rPr>
          <w:shd w:val="clear" w:color="auto" w:fill="FFFFFF"/>
        </w:rPr>
        <w:t xml:space="preserve"> in the labour market. The design and implementation of the</w:t>
      </w:r>
      <w:r w:rsidR="009A0575" w:rsidRPr="00350989">
        <w:rPr>
          <w:rStyle w:val="apple-converted-space"/>
          <w:color w:val="000000"/>
          <w:shd w:val="clear" w:color="auto" w:fill="FFFFFF"/>
        </w:rPr>
        <w:t xml:space="preserve"> </w:t>
      </w:r>
      <w:r w:rsidR="00A05063" w:rsidRPr="00350989">
        <w:rPr>
          <w:rStyle w:val="Strong"/>
          <w:color w:val="000000"/>
          <w:shd w:val="clear" w:color="auto" w:fill="FFFFFF"/>
        </w:rPr>
        <w:t>New system of assessing disability and functioning</w:t>
      </w:r>
      <w:r w:rsidR="00680047" w:rsidRPr="00350989">
        <w:rPr>
          <w:rStyle w:val="FootnoteReference"/>
          <w:b/>
          <w:bCs/>
          <w:color w:val="000000"/>
          <w:shd w:val="clear" w:color="auto" w:fill="FFFFFF"/>
        </w:rPr>
        <w:footnoteReference w:id="25"/>
      </w:r>
      <w:r w:rsidR="00A05063" w:rsidRPr="00350989">
        <w:t xml:space="preserve"> can potentially provide new perspectives on training, employment and inclusion</w:t>
      </w:r>
      <w:r w:rsidR="0004075A" w:rsidRPr="00350989">
        <w:t xml:space="preserve"> (see </w:t>
      </w:r>
      <w:proofErr w:type="spellStart"/>
      <w:r w:rsidR="0004075A" w:rsidRPr="00350989">
        <w:t>Hollenweger</w:t>
      </w:r>
      <w:proofErr w:type="spellEnd"/>
      <w:r w:rsidR="0004075A" w:rsidRPr="00350989">
        <w:t xml:space="preserve"> 2014)</w:t>
      </w:r>
      <w:r w:rsidR="0090706E" w:rsidRPr="00350989">
        <w:t>.</w:t>
      </w:r>
      <w:r w:rsidR="0004075A" w:rsidRPr="00350989">
        <w:rPr>
          <w:rStyle w:val="FootnoteReference"/>
        </w:rPr>
        <w:footnoteReference w:id="26"/>
      </w:r>
      <w:r w:rsidR="00A05063" w:rsidRPr="00350989">
        <w:t xml:space="preserve"> </w:t>
      </w:r>
      <w:r w:rsidRPr="00350989">
        <w:t>S</w:t>
      </w:r>
      <w:r w:rsidR="00A05063" w:rsidRPr="00350989">
        <w:t xml:space="preserve">uch a prospect presupposes that the professionals involved in the assessment procedures </w:t>
      </w:r>
      <w:r w:rsidRPr="00350989">
        <w:t xml:space="preserve">become </w:t>
      </w:r>
      <w:r w:rsidR="00A05063" w:rsidRPr="00350989">
        <w:t>acquainted</w:t>
      </w:r>
      <w:r w:rsidR="002E4DA7" w:rsidRPr="00350989">
        <w:t xml:space="preserve"> with </w:t>
      </w:r>
      <w:r w:rsidRPr="00350989">
        <w:t>social models of disability</w:t>
      </w:r>
      <w:r w:rsidR="00A05063" w:rsidRPr="00350989">
        <w:t xml:space="preserve"> so as to transcend the overwhelming influence of individual pathology and medical </w:t>
      </w:r>
      <w:r w:rsidR="008C4088" w:rsidRPr="00350989">
        <w:t xml:space="preserve">discourse </w:t>
      </w:r>
      <w:r w:rsidR="00A05063" w:rsidRPr="00350989">
        <w:t>that</w:t>
      </w:r>
      <w:r w:rsidR="008C4088" w:rsidRPr="00350989">
        <w:t xml:space="preserve"> have traditionally held sway over</w:t>
      </w:r>
      <w:r w:rsidR="00A05063" w:rsidRPr="00350989">
        <w:t xml:space="preserve"> dis</w:t>
      </w:r>
      <w:r w:rsidR="00775294" w:rsidRPr="00350989">
        <w:t>ability assessment procedures.</w:t>
      </w:r>
    </w:p>
    <w:p w14:paraId="59540B24" w14:textId="77777777" w:rsidR="0090706E" w:rsidRPr="00350989" w:rsidRDefault="0090706E" w:rsidP="000D7F61">
      <w:pPr>
        <w:autoSpaceDE w:val="0"/>
        <w:autoSpaceDN w:val="0"/>
        <w:adjustRightInd w:val="0"/>
        <w:spacing w:after="0"/>
        <w:rPr>
          <w:rStyle w:val="Strong"/>
          <w:b w:val="0"/>
        </w:rPr>
      </w:pPr>
    </w:p>
    <w:p w14:paraId="083C48EF" w14:textId="77777777" w:rsidR="008C4088" w:rsidRPr="00350989" w:rsidRDefault="008C4088" w:rsidP="000D7F61">
      <w:pPr>
        <w:autoSpaceDE w:val="0"/>
        <w:autoSpaceDN w:val="0"/>
        <w:adjustRightInd w:val="0"/>
        <w:spacing w:after="0"/>
      </w:pPr>
      <w:r w:rsidRPr="00350989">
        <w:rPr>
          <w:rStyle w:val="Strong"/>
          <w:b w:val="0"/>
        </w:rPr>
        <w:t xml:space="preserve">Having signed and ratified the </w:t>
      </w:r>
      <w:r w:rsidR="00172D08" w:rsidRPr="00350989">
        <w:rPr>
          <w:rStyle w:val="Strong"/>
          <w:b w:val="0"/>
        </w:rPr>
        <w:t xml:space="preserve">UN </w:t>
      </w:r>
      <w:r w:rsidRPr="00350989">
        <w:rPr>
          <w:rStyle w:val="Strong"/>
          <w:b w:val="0"/>
        </w:rPr>
        <w:t>Convention on the Rights of Persons with Disability (UNCRPD), Cyprus expected to abide by a number of stipulations aimed at educating doctors and other health professionals in order to understand the human rights dimension of disability as well as to get acquainted with the idiomorphic nature of disability experience alongside the associated health related needs of people with disabilities</w:t>
      </w:r>
    </w:p>
    <w:p w14:paraId="0BC6BF09" w14:textId="77777777" w:rsidR="008C4088" w:rsidRPr="00350989" w:rsidRDefault="008C4088" w:rsidP="000D7F61">
      <w:pPr>
        <w:autoSpaceDE w:val="0"/>
        <w:autoSpaceDN w:val="0"/>
        <w:adjustRightInd w:val="0"/>
        <w:spacing w:after="0"/>
      </w:pPr>
    </w:p>
    <w:p w14:paraId="629B7750" w14:textId="77777777" w:rsidR="00361E14" w:rsidRPr="00350989" w:rsidRDefault="00C675F1" w:rsidP="000D7F61">
      <w:pPr>
        <w:autoSpaceDE w:val="0"/>
        <w:autoSpaceDN w:val="0"/>
        <w:adjustRightInd w:val="0"/>
        <w:spacing w:after="0"/>
        <w:rPr>
          <w:rStyle w:val="Strong"/>
          <w:b w:val="0"/>
        </w:rPr>
      </w:pPr>
      <w:r w:rsidRPr="00350989">
        <w:t>A number of professional bodies such as the Surgeon General, the Institute of Medicine and the Association of American Medical Colleges</w:t>
      </w:r>
      <w:r w:rsidR="00E33428" w:rsidRPr="00350989">
        <w:t xml:space="preserve"> as well as</w:t>
      </w:r>
      <w:r w:rsidRPr="00350989">
        <w:t xml:space="preserve"> have pointed to the necessity to educate physicians in more effective and comprehensive ways so </w:t>
      </w:r>
      <w:r w:rsidRPr="00350989">
        <w:lastRenderedPageBreak/>
        <w:t>as to better address the needs of persons with disabilities</w:t>
      </w:r>
      <w:r w:rsidR="00876917" w:rsidRPr="00350989">
        <w:t xml:space="preserve"> </w:t>
      </w:r>
      <w:r w:rsidRPr="00350989">
        <w:t>(Shapiro 2011)</w:t>
      </w:r>
      <w:r w:rsidR="0090706E" w:rsidRPr="00350989">
        <w:t>.</w:t>
      </w:r>
      <w:r w:rsidR="00991B5C" w:rsidRPr="00350989">
        <w:rPr>
          <w:rStyle w:val="FootnoteReference"/>
        </w:rPr>
        <w:footnoteReference w:id="27"/>
      </w:r>
      <w:r w:rsidRPr="00350989">
        <w:t xml:space="preserve"> This involves a thorough (re) consideration of medical curricula with a view to providing disability-related training that is informed by a human rights discourse.</w:t>
      </w:r>
      <w:r w:rsidRPr="00350989">
        <w:rPr>
          <w:b/>
        </w:rPr>
        <w:t xml:space="preserve"> </w:t>
      </w:r>
    </w:p>
    <w:p w14:paraId="013D1700" w14:textId="77777777" w:rsidR="00E33428" w:rsidRPr="00350989" w:rsidRDefault="00E33428" w:rsidP="000D7F61">
      <w:pPr>
        <w:spacing w:after="0"/>
        <w:rPr>
          <w:rStyle w:val="Strong"/>
          <w:b w:val="0"/>
        </w:rPr>
      </w:pPr>
    </w:p>
    <w:p w14:paraId="1FA813CC" w14:textId="77777777" w:rsidR="00172D08" w:rsidRPr="00350989" w:rsidRDefault="00361E14" w:rsidP="000D7F61">
      <w:pPr>
        <w:spacing w:after="0"/>
        <w:rPr>
          <w:rStyle w:val="Strong"/>
          <w:b w:val="0"/>
        </w:rPr>
      </w:pPr>
      <w:r w:rsidRPr="00350989">
        <w:rPr>
          <w:rStyle w:val="Strong"/>
          <w:b w:val="0"/>
        </w:rPr>
        <w:t xml:space="preserve">In addition </w:t>
      </w:r>
      <w:r w:rsidR="00172D08" w:rsidRPr="00350989">
        <w:rPr>
          <w:rStyle w:val="Strong"/>
          <w:b w:val="0"/>
        </w:rPr>
        <w:t xml:space="preserve">a </w:t>
      </w:r>
      <w:r w:rsidRPr="00350989">
        <w:rPr>
          <w:rStyle w:val="Strong"/>
          <w:b w:val="0"/>
        </w:rPr>
        <w:t>re</w:t>
      </w:r>
      <w:r w:rsidR="000C01D9" w:rsidRPr="00350989">
        <w:rPr>
          <w:rStyle w:val="Strong"/>
          <w:b w:val="0"/>
        </w:rPr>
        <w:t>cent re</w:t>
      </w:r>
      <w:r w:rsidRPr="00350989">
        <w:rPr>
          <w:rStyle w:val="Strong"/>
          <w:b w:val="0"/>
        </w:rPr>
        <w:t xml:space="preserve">search </w:t>
      </w:r>
      <w:r w:rsidR="00172D08" w:rsidRPr="00350989">
        <w:rPr>
          <w:rStyle w:val="Strong"/>
          <w:b w:val="0"/>
        </w:rPr>
        <w:t>study</w:t>
      </w:r>
      <w:r w:rsidR="003F2F0B" w:rsidRPr="00350989">
        <w:rPr>
          <w:rStyle w:val="FootnoteReference"/>
          <w:bCs/>
        </w:rPr>
        <w:footnoteReference w:id="28"/>
      </w:r>
      <w:r w:rsidRPr="00350989">
        <w:rPr>
          <w:rStyle w:val="Strong"/>
          <w:b w:val="0"/>
        </w:rPr>
        <w:t xml:space="preserve"> provided evidence that issues of employment of people with disabilities in Cyprus are also connected to the acquisition of digital skills and the opportunities for further use of technology in the work place, as well as availability of (assistive) technology and support in its use</w:t>
      </w:r>
      <w:r w:rsidR="003F2F0B" w:rsidRPr="00350989">
        <w:rPr>
          <w:rStyle w:val="Strong"/>
          <w:b w:val="0"/>
        </w:rPr>
        <w:t>.</w:t>
      </w:r>
      <w:r w:rsidR="000C01D9" w:rsidRPr="00350989">
        <w:rPr>
          <w:rStyle w:val="Strong"/>
          <w:b w:val="0"/>
        </w:rPr>
        <w:t xml:space="preserve"> </w:t>
      </w:r>
      <w:r w:rsidR="000C01D9" w:rsidRPr="00350989">
        <w:t>All interviewees agreed that in modern, technology-based society, competence in using ICT is absolutely necessary, and that people with poor ICT skills are at a serious disadvantage</w:t>
      </w:r>
      <w:r w:rsidR="000C01D9" w:rsidRPr="00350989">
        <w:rPr>
          <w:rStyle w:val="Strong"/>
          <w:b w:val="0"/>
        </w:rPr>
        <w:t xml:space="preserve">. </w:t>
      </w:r>
    </w:p>
    <w:p w14:paraId="0E0C46D1" w14:textId="77777777" w:rsidR="00172D08" w:rsidRPr="00350989" w:rsidRDefault="00172D08" w:rsidP="000D7F61">
      <w:pPr>
        <w:spacing w:after="0"/>
        <w:rPr>
          <w:rStyle w:val="Strong"/>
          <w:b w:val="0"/>
        </w:rPr>
      </w:pPr>
    </w:p>
    <w:p w14:paraId="08056668" w14:textId="55E2DF29" w:rsidR="00361E14" w:rsidRPr="00350989" w:rsidRDefault="000C01D9" w:rsidP="000D7F61">
      <w:pPr>
        <w:spacing w:after="0"/>
      </w:pPr>
      <w:r w:rsidRPr="00350989">
        <w:t xml:space="preserve">At the same time, participants </w:t>
      </w:r>
      <w:r w:rsidRPr="00350989">
        <w:rPr>
          <w:rStyle w:val="Strong"/>
          <w:b w:val="0"/>
        </w:rPr>
        <w:t xml:space="preserve">highlighted that while funding and technology skills </w:t>
      </w:r>
      <w:r w:rsidRPr="00350989">
        <w:t xml:space="preserve">strengthen </w:t>
      </w:r>
      <w:proofErr w:type="spellStart"/>
      <w:r w:rsidRPr="00350989">
        <w:t>PwD’s</w:t>
      </w:r>
      <w:proofErr w:type="spellEnd"/>
      <w:r w:rsidRPr="00350989">
        <w:t xml:space="preserve"> competencies and employment prospects, there are serious barriers to their employment, which ICT/AT training and experience would not overcome, including the very limited number of paid job opportunities and the negative attitudes and prejudice of employers towards disability</w:t>
      </w:r>
      <w:r w:rsidR="009128C5" w:rsidRPr="00350989">
        <w:t xml:space="preserve">. </w:t>
      </w:r>
      <w:r w:rsidR="00172D08" w:rsidRPr="00350989">
        <w:t>Such</w:t>
      </w:r>
      <w:r w:rsidR="009128C5" w:rsidRPr="00350989">
        <w:t xml:space="preserve"> evidence is </w:t>
      </w:r>
      <w:r w:rsidR="00172D08" w:rsidRPr="00350989">
        <w:t>similar</w:t>
      </w:r>
      <w:r w:rsidR="009128C5" w:rsidRPr="00350989">
        <w:t xml:space="preserve"> in other European Countries, as shown by the ENTELIS Project which currently investigates the challenges of the digital divide for people with disabilities of all ages in all sectors of life (including employment)</w:t>
      </w:r>
      <w:r w:rsidR="00984A47" w:rsidRPr="00350989">
        <w:t>.</w:t>
      </w:r>
      <w:r w:rsidRPr="00350989">
        <w:rPr>
          <w:rStyle w:val="FootnoteReference"/>
        </w:rPr>
        <w:footnoteReference w:id="29"/>
      </w:r>
    </w:p>
    <w:p w14:paraId="52364E87" w14:textId="77777777" w:rsidR="009128C5" w:rsidRPr="00350989" w:rsidRDefault="009128C5" w:rsidP="000D7F61">
      <w:pPr>
        <w:spacing w:after="0"/>
        <w:rPr>
          <w:rStyle w:val="Strong"/>
          <w:b w:val="0"/>
        </w:rPr>
      </w:pPr>
    </w:p>
    <w:p w14:paraId="086F6FB8" w14:textId="77777777" w:rsidR="0010423F" w:rsidRPr="00350989" w:rsidRDefault="0010423F" w:rsidP="00244378">
      <w:pPr>
        <w:pStyle w:val="Heading2"/>
      </w:pPr>
      <w:bookmarkStart w:id="27" w:name="_Toc440298957"/>
      <w:bookmarkStart w:id="28" w:name="_Toc483409964"/>
      <w:r w:rsidRPr="00350989">
        <w:t>Education</w:t>
      </w:r>
      <w:bookmarkEnd w:id="27"/>
      <w:bookmarkEnd w:id="28"/>
    </w:p>
    <w:p w14:paraId="361D9965" w14:textId="77777777" w:rsidR="0090706E" w:rsidRPr="00350989" w:rsidRDefault="0090706E" w:rsidP="000D7F61">
      <w:pPr>
        <w:spacing w:after="0"/>
      </w:pPr>
    </w:p>
    <w:p w14:paraId="28929055" w14:textId="02F8C2E2" w:rsidR="008C4088" w:rsidRPr="00350989" w:rsidRDefault="008C4088" w:rsidP="000D7F61">
      <w:pPr>
        <w:spacing w:after="0"/>
      </w:pPr>
      <w:r w:rsidRPr="00350989">
        <w:t xml:space="preserve">More data need to be collated in order to discuss trends and prospects in reliable ways. The </w:t>
      </w:r>
      <w:r w:rsidR="00172D08" w:rsidRPr="00350989">
        <w:t xml:space="preserve">estimation </w:t>
      </w:r>
      <w:r w:rsidRPr="00350989">
        <w:t xml:space="preserve">of early school leavers might be based on </w:t>
      </w:r>
      <w:r w:rsidR="00647CC6" w:rsidRPr="00350989">
        <w:t>very little data</w:t>
      </w:r>
      <w:r w:rsidR="003D4996" w:rsidRPr="00350989">
        <w:t xml:space="preserve"> and </w:t>
      </w:r>
      <w:r w:rsidR="00647CC6" w:rsidRPr="00350989">
        <w:t>do</w:t>
      </w:r>
      <w:r w:rsidR="003D4996" w:rsidRPr="00350989">
        <w:t>es</w:t>
      </w:r>
      <w:r w:rsidR="00647CC6" w:rsidRPr="00350989">
        <w:t xml:space="preserve"> not take into consideration the number of disabled students who might have never attended secondary education</w:t>
      </w:r>
      <w:r w:rsidR="0090706E" w:rsidRPr="00350989">
        <w:t>.</w:t>
      </w:r>
      <w:r w:rsidR="009B0BDB" w:rsidRPr="00350989">
        <w:t xml:space="preserve"> </w:t>
      </w:r>
      <w:r w:rsidR="00172D08" w:rsidRPr="00350989">
        <w:t>T</w:t>
      </w:r>
      <w:r w:rsidR="009B0BDB" w:rsidRPr="00350989">
        <w:t>he Monitoring Report for Education and Training in Cyprus (2015)</w:t>
      </w:r>
      <w:r w:rsidR="009B0BDB" w:rsidRPr="00350989">
        <w:rPr>
          <w:rStyle w:val="FootnoteReference"/>
        </w:rPr>
        <w:footnoteReference w:id="30"/>
      </w:r>
      <w:r w:rsidR="00172D08" w:rsidRPr="00350989">
        <w:t xml:space="preserve"> contains no specific data on disability but</w:t>
      </w:r>
      <w:r w:rsidR="009B0BDB" w:rsidRPr="00350989">
        <w:t xml:space="preserve"> comments that in Cyprus young men are almost four times more likely to leave school prematurely (11.2</w:t>
      </w:r>
      <w:r w:rsidR="009A0575" w:rsidRPr="00350989">
        <w:t xml:space="preserve"> %</w:t>
      </w:r>
      <w:r w:rsidR="009B0BDB" w:rsidRPr="00350989">
        <w:t>) than young women (2.9</w:t>
      </w:r>
      <w:r w:rsidR="009A0575" w:rsidRPr="00350989">
        <w:t xml:space="preserve"> %</w:t>
      </w:r>
      <w:r w:rsidR="009B0BDB" w:rsidRPr="00350989">
        <w:t>), and th</w:t>
      </w:r>
      <w:r w:rsidR="00172D08" w:rsidRPr="00350989">
        <w:t>is</w:t>
      </w:r>
      <w:r w:rsidR="009B0BDB" w:rsidRPr="00350989">
        <w:t xml:space="preserve"> gender gap is widening</w:t>
      </w:r>
      <w:r w:rsidR="002A35E8" w:rsidRPr="00350989">
        <w:t>, and this may be due the fact that families encourage young men to find a job (or work with the family) easier than they would do for young women.</w:t>
      </w:r>
    </w:p>
    <w:p w14:paraId="19B7E226" w14:textId="77777777" w:rsidR="0090706E" w:rsidRPr="00350989" w:rsidRDefault="0090706E" w:rsidP="000D7F61">
      <w:pPr>
        <w:spacing w:after="0"/>
      </w:pPr>
    </w:p>
    <w:p w14:paraId="3E6B9A68" w14:textId="77777777" w:rsidR="00172D08" w:rsidRPr="00350989" w:rsidRDefault="00647CC6" w:rsidP="000D7F61">
      <w:pPr>
        <w:spacing w:after="0"/>
      </w:pPr>
      <w:r w:rsidRPr="00350989">
        <w:t>As far as tertiary education level is concerned</w:t>
      </w:r>
      <w:r w:rsidR="00172D08" w:rsidRPr="00350989">
        <w:t>,</w:t>
      </w:r>
      <w:r w:rsidRPr="00350989">
        <w:t xml:space="preserve"> completion rates are quite high but nevertheless this kind of data might be misleading as there are a number of other issues that need to be attended to in order to implement a fully-ﬂedge</w:t>
      </w:r>
      <w:r w:rsidR="006D5AD4" w:rsidRPr="00350989">
        <w:t xml:space="preserve">d </w:t>
      </w:r>
      <w:r w:rsidRPr="00350989">
        <w:t>social</w:t>
      </w:r>
      <w:r w:rsidR="006D5AD4" w:rsidRPr="00350989">
        <w:t xml:space="preserve"> </w:t>
      </w:r>
      <w:r w:rsidRPr="00350989">
        <w:t>justice</w:t>
      </w:r>
      <w:r w:rsidR="006D5AD4" w:rsidRPr="00350989">
        <w:t xml:space="preserve"> </w:t>
      </w:r>
      <w:r w:rsidRPr="00350989">
        <w:t>discourse</w:t>
      </w:r>
      <w:r w:rsidR="006D5AD4" w:rsidRPr="00350989">
        <w:t xml:space="preserve"> </w:t>
      </w:r>
      <w:r w:rsidRPr="00350989">
        <w:t>in</w:t>
      </w:r>
      <w:r w:rsidR="006D5AD4" w:rsidRPr="00350989">
        <w:t xml:space="preserve"> </w:t>
      </w:r>
      <w:r w:rsidRPr="00350989">
        <w:t>terms</w:t>
      </w:r>
      <w:r w:rsidR="006D5AD4" w:rsidRPr="00350989">
        <w:t xml:space="preserve"> </w:t>
      </w:r>
      <w:r w:rsidRPr="00350989">
        <w:t>of</w:t>
      </w:r>
      <w:r w:rsidR="006D5AD4" w:rsidRPr="00350989">
        <w:t xml:space="preserve"> </w:t>
      </w:r>
      <w:r w:rsidRPr="00350989">
        <w:t>enhancing</w:t>
      </w:r>
      <w:r w:rsidR="006D5AD4" w:rsidRPr="00350989">
        <w:t xml:space="preserve"> </w:t>
      </w:r>
      <w:r w:rsidRPr="00350989">
        <w:t>participation</w:t>
      </w:r>
      <w:r w:rsidR="006D5AD4" w:rsidRPr="00350989">
        <w:t xml:space="preserve"> </w:t>
      </w:r>
      <w:r w:rsidRPr="00350989">
        <w:t>in</w:t>
      </w:r>
      <w:r w:rsidR="006D5AD4" w:rsidRPr="00350989">
        <w:t xml:space="preserve"> </w:t>
      </w:r>
      <w:r w:rsidRPr="00350989">
        <w:t>higher education</w:t>
      </w:r>
      <w:r w:rsidR="006D5AD4" w:rsidRPr="00350989">
        <w:t>.</w:t>
      </w:r>
      <w:r w:rsidR="002A35E8" w:rsidRPr="00350989">
        <w:t xml:space="preserve"> </w:t>
      </w:r>
      <w:r w:rsidR="00172D08" w:rsidRPr="00350989">
        <w:t>W</w:t>
      </w:r>
      <w:r w:rsidR="002A35E8" w:rsidRPr="00350989">
        <w:t xml:space="preserve">hat should be examined </w:t>
      </w:r>
      <w:r w:rsidR="00172D08" w:rsidRPr="00350989">
        <w:t xml:space="preserve">first </w:t>
      </w:r>
      <w:r w:rsidR="002A35E8" w:rsidRPr="00350989">
        <w:t xml:space="preserve">is the number of students with disability entering Higher Education, the institutions’ </w:t>
      </w:r>
      <w:proofErr w:type="spellStart"/>
      <w:r w:rsidR="002A35E8" w:rsidRPr="00350989">
        <w:t>enrollment</w:t>
      </w:r>
      <w:proofErr w:type="spellEnd"/>
      <w:r w:rsidR="002A35E8" w:rsidRPr="00350989">
        <w:t xml:space="preserve"> criteria and </w:t>
      </w:r>
      <w:r w:rsidR="00172D08" w:rsidRPr="00350989">
        <w:t>their</w:t>
      </w:r>
      <w:r w:rsidR="002A35E8" w:rsidRPr="00350989">
        <w:t xml:space="preserve"> support and provisions for disabled students. </w:t>
      </w:r>
    </w:p>
    <w:p w14:paraId="410F5003" w14:textId="77777777" w:rsidR="00172D08" w:rsidRPr="00350989" w:rsidRDefault="00172D08" w:rsidP="000D7F61">
      <w:pPr>
        <w:spacing w:after="0"/>
      </w:pPr>
    </w:p>
    <w:p w14:paraId="037D60D4" w14:textId="77777777" w:rsidR="001F455B" w:rsidRPr="00350989" w:rsidRDefault="00F74A5F" w:rsidP="000D7F61">
      <w:pPr>
        <w:spacing w:after="0"/>
      </w:pPr>
      <w:r w:rsidRPr="00350989">
        <w:lastRenderedPageBreak/>
        <w:t>Recent research on HE accessibility in Cyprus showed that a</w:t>
      </w:r>
      <w:r w:rsidR="00CF3874" w:rsidRPr="00350989">
        <w:t xml:space="preserve">ccessibility and other provisions for students with disabilities are </w:t>
      </w:r>
      <w:r w:rsidR="00172D08" w:rsidRPr="00350989">
        <w:t xml:space="preserve">only </w:t>
      </w:r>
      <w:r w:rsidR="00CF3874" w:rsidRPr="00350989">
        <w:t>in the very early stages at the Cyprus universities (both public and private)</w:t>
      </w:r>
      <w:r w:rsidR="006A43F1" w:rsidRPr="00350989">
        <w:rPr>
          <w:rStyle w:val="FootnoteReference"/>
        </w:rPr>
        <w:footnoteReference w:id="31"/>
      </w:r>
      <w:r w:rsidR="00CF3874" w:rsidRPr="00350989">
        <w:t xml:space="preserve"> and this is something that seems to discourage disabled students towards HE</w:t>
      </w:r>
      <w:r w:rsidR="006A43F1" w:rsidRPr="00350989">
        <w:t xml:space="preserve"> or abet dropout.</w:t>
      </w:r>
      <w:r w:rsidR="00CF3874" w:rsidRPr="00350989">
        <w:t xml:space="preserve"> </w:t>
      </w:r>
      <w:r w:rsidRPr="00350989">
        <w:t>Another study</w:t>
      </w:r>
      <w:r w:rsidRPr="00350989">
        <w:rPr>
          <w:rStyle w:val="FootnoteReference"/>
        </w:rPr>
        <w:footnoteReference w:id="32"/>
      </w:r>
      <w:r w:rsidRPr="00350989">
        <w:t xml:space="preserve"> investigating the experiences of students with disabilities in HE in Cyprus showed that students are disappointed because of lack of awareness </w:t>
      </w:r>
      <w:r w:rsidR="001F455B" w:rsidRPr="00350989">
        <w:t xml:space="preserve">on disability issues </w:t>
      </w:r>
      <w:r w:rsidRPr="00350989">
        <w:t xml:space="preserve">from university faculty as well as on procedures for learning material and content adaptations and competencies for differentiation and pedagogical approaches. Participants emphasized that they had more support from their peers, and highlighted the difficulty of the Cypriot culture to respect diversity and the still existing prejudice towards disability. </w:t>
      </w:r>
    </w:p>
    <w:p w14:paraId="7BF86168" w14:textId="77777777" w:rsidR="001F455B" w:rsidRPr="00350989" w:rsidRDefault="001F455B" w:rsidP="000D7F61">
      <w:pPr>
        <w:spacing w:after="0"/>
      </w:pPr>
    </w:p>
    <w:p w14:paraId="02BDBC0F" w14:textId="2622A397" w:rsidR="002A35E8" w:rsidRPr="00350989" w:rsidRDefault="002A35E8" w:rsidP="000D7F61">
      <w:pPr>
        <w:spacing w:after="0"/>
      </w:pPr>
      <w:r w:rsidRPr="00350989">
        <w:t>Based on unpublished data, the monitoring mechanism for the implementation of the UNCPRD</w:t>
      </w:r>
      <w:r w:rsidRPr="00350989">
        <w:rPr>
          <w:rStyle w:val="FootnoteReference"/>
        </w:rPr>
        <w:footnoteReference w:id="33"/>
      </w:r>
      <w:r w:rsidRPr="00350989">
        <w:t xml:space="preserve"> in Cyprus, has in 2015-2016 started receiving complaints from university students regarding issues of human rights, accessibility and provisions relevant to their quality of education and access in HEI.</w:t>
      </w:r>
      <w:r w:rsidR="00CF3874" w:rsidRPr="00350989">
        <w:t xml:space="preserve"> The same authority has recently intervene</w:t>
      </w:r>
      <w:r w:rsidR="001F455B" w:rsidRPr="00350989">
        <w:t>d</w:t>
      </w:r>
      <w:r w:rsidR="00CF3874" w:rsidRPr="00350989">
        <w:t xml:space="preserve"> for the withdrawal and revision of the regulations of the Medical School of the University of Cyprus, which excluded individuals with disabilities</w:t>
      </w:r>
      <w:r w:rsidR="00984A47" w:rsidRPr="00350989">
        <w:t>.</w:t>
      </w:r>
      <w:r w:rsidR="00CF3874" w:rsidRPr="00350989">
        <w:rPr>
          <w:rStyle w:val="FootnoteReference"/>
        </w:rPr>
        <w:footnoteReference w:id="34"/>
      </w:r>
    </w:p>
    <w:p w14:paraId="43E446DE" w14:textId="77777777" w:rsidR="002A35E8" w:rsidRPr="00350989" w:rsidRDefault="002A35E8" w:rsidP="000D7F61">
      <w:pPr>
        <w:spacing w:after="0"/>
      </w:pPr>
    </w:p>
    <w:p w14:paraId="277F8E11" w14:textId="77777777" w:rsidR="0010423F" w:rsidRPr="00350989" w:rsidRDefault="0010423F" w:rsidP="00244378">
      <w:pPr>
        <w:pStyle w:val="Heading2"/>
      </w:pPr>
      <w:bookmarkStart w:id="29" w:name="_Toc440298958"/>
      <w:bookmarkStart w:id="30" w:name="_Toc483409965"/>
      <w:r w:rsidRPr="00350989">
        <w:t>Poverty and social inclusion</w:t>
      </w:r>
      <w:bookmarkEnd w:id="29"/>
      <w:bookmarkEnd w:id="30"/>
    </w:p>
    <w:p w14:paraId="6379DD5E" w14:textId="77777777" w:rsidR="00820A95" w:rsidRPr="00350989" w:rsidRDefault="00820A95" w:rsidP="000D7F61">
      <w:pPr>
        <w:spacing w:after="0"/>
      </w:pPr>
    </w:p>
    <w:p w14:paraId="64F82063" w14:textId="13967EA3" w:rsidR="00411E67" w:rsidRPr="00350989" w:rsidRDefault="004A3965" w:rsidP="000D7F61">
      <w:pPr>
        <w:spacing w:after="0"/>
      </w:pPr>
      <w:r w:rsidRPr="00350989">
        <w:t xml:space="preserve">Risks of low work intensity are below the EU average for both disabled and non-disabled people in Cyprus, yet risks of material deprivation are high. While household risks of low </w:t>
      </w:r>
      <w:r w:rsidR="00785084" w:rsidRPr="00350989">
        <w:t xml:space="preserve">income </w:t>
      </w:r>
      <w:r w:rsidRPr="00350989">
        <w:t>fall below the EU average for non-disabled people they are higher for disabled people. While overall risk has reduced for older people it has increased for those of working age, with a risk gap of more than 11 points compared to non-disabled people (aged 16-64)</w:t>
      </w:r>
      <w:r w:rsidR="00820A95" w:rsidRPr="00350989">
        <w:t>.</w:t>
      </w:r>
      <w:r w:rsidR="00574BBC" w:rsidRPr="00350989">
        <w:t xml:space="preserve"> In general, it seems that the financial crisis of 2013 has had an impact on the poverty percentage (including people with disabilities) as based on the data of the NRP 2016 Cyprus report the poverty percentage (AROPE) (in general including people with disabilities) has decreased but not significan</w:t>
      </w:r>
      <w:r w:rsidR="00A43D96" w:rsidRPr="00350989">
        <w:t>t</w:t>
      </w:r>
      <w:r w:rsidR="00574BBC" w:rsidRPr="00350989">
        <w:t>ly to 27.4</w:t>
      </w:r>
      <w:r w:rsidR="009A0575" w:rsidRPr="00350989">
        <w:t xml:space="preserve"> %</w:t>
      </w:r>
      <w:r w:rsidR="00574BBC" w:rsidRPr="00350989">
        <w:t xml:space="preserve"> in 2014 compared to 27,8</w:t>
      </w:r>
      <w:r w:rsidR="009A0575" w:rsidRPr="00350989">
        <w:t xml:space="preserve"> %</w:t>
      </w:r>
      <w:r w:rsidR="00574BBC" w:rsidRPr="00350989">
        <w:t xml:space="preserve"> in 2013, while it had risen significantly from 23.3</w:t>
      </w:r>
      <w:r w:rsidR="009A0575" w:rsidRPr="00350989">
        <w:t xml:space="preserve"> %</w:t>
      </w:r>
      <w:r w:rsidR="00574BBC" w:rsidRPr="00350989">
        <w:t xml:space="preserve"> in 2008 to 27.8</w:t>
      </w:r>
      <w:r w:rsidR="009A0575" w:rsidRPr="00350989">
        <w:t xml:space="preserve"> %</w:t>
      </w:r>
      <w:r w:rsidR="00574BBC" w:rsidRPr="00350989">
        <w:t xml:space="preserve"> in 2013. Based on the data in the same report (p. 47) an increasing trend in people living in very low work intensity households (VLWI) is observed. In particular, the VLWI (quasi-jobless households) shows an increasing trend from 4.9</w:t>
      </w:r>
      <w:r w:rsidR="009A0575" w:rsidRPr="00350989">
        <w:t xml:space="preserve"> %</w:t>
      </w:r>
      <w:r w:rsidR="00574BBC" w:rsidRPr="00350989">
        <w:t xml:space="preserve"> in 2011, to 7.9</w:t>
      </w:r>
      <w:r w:rsidR="009A0575" w:rsidRPr="00350989">
        <w:t xml:space="preserve"> %</w:t>
      </w:r>
      <w:r w:rsidR="00574BBC" w:rsidRPr="00350989">
        <w:t xml:space="preserve"> in 2013 and to 9.7</w:t>
      </w:r>
      <w:r w:rsidR="009A0575" w:rsidRPr="00350989">
        <w:t xml:space="preserve"> %</w:t>
      </w:r>
      <w:r w:rsidR="00574BBC" w:rsidRPr="00350989">
        <w:t xml:space="preserve"> in 2014. This reflects the increase in unemployment rate in Cyprus mentioned earlier. In </w:t>
      </w:r>
      <w:r w:rsidR="00574BBC" w:rsidRPr="00350989">
        <w:lastRenderedPageBreak/>
        <w:t>addition, a slight increase is noticed to the AROPE of the elderly (65+) from 26.1</w:t>
      </w:r>
      <w:r w:rsidR="009A0575" w:rsidRPr="00350989">
        <w:t xml:space="preserve"> %</w:t>
      </w:r>
      <w:r w:rsidR="00574BBC" w:rsidRPr="00350989">
        <w:t xml:space="preserve"> in 2013 to 27.2</w:t>
      </w:r>
      <w:r w:rsidR="009A0575" w:rsidRPr="00350989">
        <w:t xml:space="preserve"> %</w:t>
      </w:r>
      <w:r w:rsidR="00574BBC" w:rsidRPr="00350989">
        <w:t xml:space="preserve"> in 2014. On the contrary, the AROPE for children (aged 0-17) decreased by 3 percentage points (from 27.7</w:t>
      </w:r>
      <w:r w:rsidR="009A0575" w:rsidRPr="00350989">
        <w:t xml:space="preserve"> %</w:t>
      </w:r>
      <w:r w:rsidR="00574BBC" w:rsidRPr="00350989">
        <w:t xml:space="preserve"> in 2013 to 24.7</w:t>
      </w:r>
      <w:r w:rsidR="009A0575" w:rsidRPr="00350989">
        <w:t xml:space="preserve"> %</w:t>
      </w:r>
      <w:r w:rsidR="00574BBC" w:rsidRPr="00350989">
        <w:t xml:space="preserve"> in 2014). The at-risk-of poverty (after social transfers), i.e. monetary poverty, decreased from 15.3</w:t>
      </w:r>
      <w:r w:rsidR="009A0575" w:rsidRPr="00350989">
        <w:t xml:space="preserve"> %</w:t>
      </w:r>
      <w:r w:rsidR="00574BBC" w:rsidRPr="00350989">
        <w:t xml:space="preserve"> in 2013 to 14.4</w:t>
      </w:r>
      <w:r w:rsidR="009A0575" w:rsidRPr="00350989">
        <w:t xml:space="preserve"> %</w:t>
      </w:r>
      <w:r w:rsidR="00574BBC" w:rsidRPr="00350989">
        <w:t xml:space="preserve"> in 2014. The poverty threshold for 2014 was €</w:t>
      </w:r>
      <w:r w:rsidR="00185E73">
        <w:t> </w:t>
      </w:r>
      <w:r w:rsidR="00574BBC" w:rsidRPr="00350989">
        <w:t>8,640 compared to €</w:t>
      </w:r>
      <w:r w:rsidR="00185E73">
        <w:t> </w:t>
      </w:r>
      <w:r w:rsidR="00574BBC" w:rsidRPr="00350989">
        <w:t>9,524 in 2013 (a decrease of 9.3</w:t>
      </w:r>
      <w:r w:rsidR="009A0575" w:rsidRPr="00350989">
        <w:t xml:space="preserve"> %</w:t>
      </w:r>
      <w:r w:rsidR="00574BBC" w:rsidRPr="00350989">
        <w:t>). Also, the severe material deprivation rate decreased from 16.1</w:t>
      </w:r>
      <w:r w:rsidR="009A0575" w:rsidRPr="00350989">
        <w:t xml:space="preserve"> %</w:t>
      </w:r>
      <w:r w:rsidR="00574BBC" w:rsidRPr="00350989">
        <w:t xml:space="preserve"> in 2013 to 15.3</w:t>
      </w:r>
      <w:r w:rsidR="009A0575" w:rsidRPr="00350989">
        <w:t xml:space="preserve"> %</w:t>
      </w:r>
      <w:r w:rsidR="00574BBC" w:rsidRPr="00350989">
        <w:t xml:space="preserve"> in 2014. Looking at the at-risk-of poverty by most frequent activity a decrease is noticed both for the working population and the unemployed (from 8.9</w:t>
      </w:r>
      <w:r w:rsidR="009A0575" w:rsidRPr="00350989">
        <w:t xml:space="preserve"> %</w:t>
      </w:r>
      <w:r w:rsidR="00574BBC" w:rsidRPr="00350989">
        <w:t xml:space="preserve"> in 2013 to 7.8</w:t>
      </w:r>
      <w:r w:rsidR="009A0575" w:rsidRPr="00350989">
        <w:t xml:space="preserve"> %</w:t>
      </w:r>
      <w:r w:rsidR="00574BBC" w:rsidRPr="00350989">
        <w:t xml:space="preserve"> in 2014, and from 33.6</w:t>
      </w:r>
      <w:r w:rsidR="009A0575" w:rsidRPr="00350989">
        <w:t xml:space="preserve"> %</w:t>
      </w:r>
      <w:r w:rsidR="00574BBC" w:rsidRPr="00350989">
        <w:t xml:space="preserve"> in 2013 to 32.6</w:t>
      </w:r>
      <w:r w:rsidR="009A0575" w:rsidRPr="00350989">
        <w:t xml:space="preserve"> %</w:t>
      </w:r>
      <w:r w:rsidR="00574BBC" w:rsidRPr="00350989">
        <w:t xml:space="preserve"> in 2014, respectively).</w:t>
      </w:r>
    </w:p>
    <w:p w14:paraId="1DFF5700" w14:textId="77777777" w:rsidR="0010423F" w:rsidRPr="00350989" w:rsidRDefault="0010423F" w:rsidP="001A4BE6">
      <w:pPr>
        <w:pStyle w:val="Heading1"/>
      </w:pPr>
      <w:bookmarkStart w:id="31" w:name="_Toc440298959"/>
      <w:bookmarkStart w:id="32" w:name="_Toc483409966"/>
      <w:r w:rsidRPr="00350989">
        <w:lastRenderedPageBreak/>
        <w:t>Assessment of policies in place to meet the relevant headline targets</w:t>
      </w:r>
      <w:bookmarkEnd w:id="31"/>
      <w:bookmarkEnd w:id="32"/>
    </w:p>
    <w:p w14:paraId="67B95717" w14:textId="77777777" w:rsidR="00820A95" w:rsidRPr="00350989" w:rsidRDefault="00820A95" w:rsidP="000D7F61">
      <w:pPr>
        <w:spacing w:after="0"/>
      </w:pPr>
    </w:p>
    <w:p w14:paraId="4C4F011F" w14:textId="77777777" w:rsidR="0010423F" w:rsidRPr="00350989" w:rsidRDefault="0010423F" w:rsidP="00244378">
      <w:pPr>
        <w:pStyle w:val="Heading2"/>
      </w:pPr>
      <w:bookmarkStart w:id="33" w:name="_Toc440298960"/>
      <w:bookmarkStart w:id="34" w:name="_Toc483409967"/>
      <w:r w:rsidRPr="00350989">
        <w:t>Employment</w:t>
      </w:r>
      <w:bookmarkEnd w:id="33"/>
      <w:bookmarkEnd w:id="34"/>
    </w:p>
    <w:p w14:paraId="0DEACE18" w14:textId="77777777" w:rsidR="00820A95" w:rsidRPr="00350989" w:rsidRDefault="00820A95" w:rsidP="000D7F61">
      <w:pPr>
        <w:spacing w:after="0"/>
      </w:pPr>
    </w:p>
    <w:p w14:paraId="03F11B4E" w14:textId="77777777" w:rsidR="004A3965" w:rsidRPr="00350989" w:rsidRDefault="004A3965" w:rsidP="000D7F61">
      <w:pPr>
        <w:spacing w:after="0"/>
      </w:pPr>
      <w:r w:rsidRPr="00350989">
        <w:t>Regarding employment, the National Disability Action Plan sets out the following actions, under the 8</w:t>
      </w:r>
      <w:r w:rsidRPr="00350989">
        <w:rPr>
          <w:vertAlign w:val="superscript"/>
        </w:rPr>
        <w:t>th</w:t>
      </w:r>
      <w:r w:rsidRPr="00350989">
        <w:t xml:space="preserve"> Thematic Area (Employment, p. 20):</w:t>
      </w:r>
    </w:p>
    <w:p w14:paraId="53B135BC" w14:textId="77777777" w:rsidR="00820A95" w:rsidRPr="00350989" w:rsidRDefault="00820A95" w:rsidP="000D7F61">
      <w:pPr>
        <w:spacing w:after="0"/>
      </w:pPr>
    </w:p>
    <w:p w14:paraId="50674231" w14:textId="77777777" w:rsidR="004A3965" w:rsidRPr="00350989" w:rsidRDefault="004A3965" w:rsidP="000D7F61">
      <w:pPr>
        <w:pStyle w:val="ListParagraph"/>
        <w:numPr>
          <w:ilvl w:val="0"/>
          <w:numId w:val="4"/>
        </w:numPr>
        <w:spacing w:after="0"/>
        <w:ind w:left="567" w:hanging="567"/>
      </w:pPr>
      <w:r w:rsidRPr="00350989">
        <w:rPr>
          <w:b/>
        </w:rPr>
        <w:t xml:space="preserve">Action 35: </w:t>
      </w:r>
      <w:r w:rsidRPr="00350989">
        <w:t>Modernization and upgrading of the vocational rehabilitation for people with disabilities sector, timetable 2013-2014, expected outcomes: increasing the vocational training, employment, and rehabilitation programs for people with disabilities</w:t>
      </w:r>
    </w:p>
    <w:p w14:paraId="246323ED" w14:textId="77777777" w:rsidR="004A3965" w:rsidRPr="00350989" w:rsidRDefault="004A3965" w:rsidP="000D7F61">
      <w:pPr>
        <w:pStyle w:val="ListParagraph"/>
        <w:numPr>
          <w:ilvl w:val="0"/>
          <w:numId w:val="4"/>
        </w:numPr>
        <w:spacing w:after="0"/>
        <w:ind w:left="567" w:hanging="567"/>
      </w:pPr>
      <w:r w:rsidRPr="00350989">
        <w:rPr>
          <w:b/>
        </w:rPr>
        <w:t>Action 36:</w:t>
      </w:r>
      <w:r w:rsidRPr="00350989">
        <w:t xml:space="preserve"> Implementation of the institution for "social enterprises and cooperatives", timetable 2013-2014, expected outcomes: introduction of social enterprises in Cyprus in order to create new jobs in economically sustainable enterprises and to promote the employment of persons with disabilities in cooperation and with the support of persons without disabilities</w:t>
      </w:r>
    </w:p>
    <w:p w14:paraId="0A65F193" w14:textId="77777777" w:rsidR="004A3965" w:rsidRPr="00350989" w:rsidRDefault="004A3965" w:rsidP="000D7F61">
      <w:pPr>
        <w:pStyle w:val="ListParagraph"/>
        <w:numPr>
          <w:ilvl w:val="0"/>
          <w:numId w:val="4"/>
        </w:numPr>
        <w:spacing w:after="0"/>
        <w:ind w:left="567" w:hanging="567"/>
      </w:pPr>
      <w:r w:rsidRPr="00350989">
        <w:rPr>
          <w:b/>
        </w:rPr>
        <w:t>Action 37</w:t>
      </w:r>
      <w:r w:rsidRPr="00350989">
        <w:t>: Upgrading of the "Supported Employment Scheme”, timeline 2013-2014, expected outcomes: Upgrading of the existing program “Supported Employment” in the new programming period 2014-2020 with extension of the programs in rural areas and increasing in urban areas, utilization of the Job Coaches Association, as an employer of Job Coaches, integration of increased number of persons with disabilities in the open labour market through supported employment.</w:t>
      </w:r>
    </w:p>
    <w:p w14:paraId="03F149E8" w14:textId="76B04001" w:rsidR="004A3965" w:rsidRPr="00350989" w:rsidRDefault="004A3965" w:rsidP="000D7F61">
      <w:pPr>
        <w:pStyle w:val="ListParagraph"/>
        <w:numPr>
          <w:ilvl w:val="0"/>
          <w:numId w:val="4"/>
        </w:numPr>
        <w:spacing w:after="0"/>
        <w:ind w:left="567" w:hanging="567"/>
      </w:pPr>
      <w:r w:rsidRPr="00350989">
        <w:rPr>
          <w:b/>
        </w:rPr>
        <w:t>Action 39</w:t>
      </w:r>
      <w:r w:rsidR="00775294" w:rsidRPr="00350989">
        <w:t xml:space="preserve">: </w:t>
      </w:r>
      <w:r w:rsidRPr="00350989">
        <w:t>Scheme for the placement of 1,000 unemployed young university graduates for the acquisition of work experience in companies / organizations, timeline 2013-2014, expected outcomes: increase employment opportunities of young unemployed university graduates with disabilities.</w:t>
      </w:r>
    </w:p>
    <w:p w14:paraId="5AACF0EB" w14:textId="77777777" w:rsidR="00820A95" w:rsidRPr="00350989" w:rsidRDefault="00820A95" w:rsidP="000D7F61">
      <w:pPr>
        <w:autoSpaceDE w:val="0"/>
        <w:autoSpaceDN w:val="0"/>
        <w:adjustRightInd w:val="0"/>
        <w:spacing w:after="0"/>
      </w:pPr>
    </w:p>
    <w:p w14:paraId="37A34495" w14:textId="77777777" w:rsidR="00E26710" w:rsidRPr="00350989" w:rsidRDefault="00E26710" w:rsidP="000D7F61">
      <w:pPr>
        <w:autoSpaceDE w:val="0"/>
        <w:autoSpaceDN w:val="0"/>
        <w:adjustRightInd w:val="0"/>
        <w:spacing w:after="0"/>
      </w:pPr>
      <w:r w:rsidRPr="00350989">
        <w:t>As stated in the 201</w:t>
      </w:r>
      <w:r w:rsidR="00576DEC" w:rsidRPr="00350989">
        <w:t>6</w:t>
      </w:r>
      <w:r w:rsidRPr="00350989">
        <w:t xml:space="preserve"> NRP a number of schemes</w:t>
      </w:r>
      <w:r w:rsidR="00576DEC" w:rsidRPr="00350989">
        <w:t xml:space="preserve"> and measures</w:t>
      </w:r>
      <w:r w:rsidRPr="00350989">
        <w:t xml:space="preserve"> </w:t>
      </w:r>
      <w:r w:rsidR="00576DEC" w:rsidRPr="00350989">
        <w:t>have been</w:t>
      </w:r>
      <w:r w:rsidRPr="00350989">
        <w:t xml:space="preserve"> implemented during </w:t>
      </w:r>
      <w:r w:rsidR="00576DEC" w:rsidRPr="00350989">
        <w:t xml:space="preserve">last years </w:t>
      </w:r>
      <w:r w:rsidRPr="00350989">
        <w:t>in order to enhance employability</w:t>
      </w:r>
      <w:r w:rsidR="00576DEC" w:rsidRPr="00350989">
        <w:t xml:space="preserve">, with the following progress reported: </w:t>
      </w:r>
    </w:p>
    <w:p w14:paraId="0D8AE079" w14:textId="77777777" w:rsidR="00820A95" w:rsidRPr="00350989" w:rsidRDefault="00820A95" w:rsidP="000D7F61">
      <w:pPr>
        <w:autoSpaceDE w:val="0"/>
        <w:autoSpaceDN w:val="0"/>
        <w:adjustRightInd w:val="0"/>
        <w:spacing w:after="0"/>
      </w:pPr>
    </w:p>
    <w:p w14:paraId="23D23B5B" w14:textId="0310B7A1" w:rsidR="00576DEC" w:rsidRPr="00350989" w:rsidRDefault="00576DEC" w:rsidP="00244378">
      <w:pPr>
        <w:numPr>
          <w:ilvl w:val="0"/>
          <w:numId w:val="6"/>
        </w:numPr>
        <w:autoSpaceDE w:val="0"/>
        <w:autoSpaceDN w:val="0"/>
        <w:adjustRightInd w:val="0"/>
        <w:spacing w:after="0"/>
        <w:ind w:left="567" w:hanging="567"/>
      </w:pPr>
      <w:r w:rsidRPr="00350989">
        <w:t>National Action Plan for Youth Employment (NAP) for 2015-2017 with a total budget of €</w:t>
      </w:r>
      <w:r w:rsidR="00185E73">
        <w:t> </w:t>
      </w:r>
      <w:r w:rsidRPr="00350989">
        <w:t xml:space="preserve">47,2 </w:t>
      </w:r>
      <w:proofErr w:type="spellStart"/>
      <w:r w:rsidRPr="00350989">
        <w:t>mln</w:t>
      </w:r>
      <w:proofErr w:type="spellEnd"/>
      <w:r w:rsidRPr="00350989">
        <w:t xml:space="preserve">. In 2015 four schemes were issues for the NAP which include </w:t>
      </w:r>
      <w:r w:rsidR="00E26710" w:rsidRPr="00350989">
        <w:t>a scheme for the employment and training of tertiary education graduates, a scheme for the employment and training of the long-term unemployed, a scheme for the job placement of unemployed young tertiary education graduates for the acquisition of work experience in enterprises/organisations, a scheme for the job placement of young unemployed graduates of lower secondary, upper secondary and post</w:t>
      </w:r>
      <w:r w:rsidR="004B1341" w:rsidRPr="00350989">
        <w:t>-</w:t>
      </w:r>
      <w:r w:rsidR="00E26710" w:rsidRPr="00350989">
        <w:t>secondary education of up to two years for acquisition of work experience in enterprises/organisations</w:t>
      </w:r>
      <w:r w:rsidRPr="00350989">
        <w:t xml:space="preserve">. </w:t>
      </w:r>
      <w:r w:rsidR="004B1341" w:rsidRPr="00350989">
        <w:t xml:space="preserve">The above are also included in the measures for the Long Term Unemployed. </w:t>
      </w:r>
      <w:r w:rsidRPr="00350989">
        <w:t xml:space="preserve">In addition in 2016 a subsidy scheme providing financial incentives to employers for the employment of the unemployed young people less than 25 years old, a measure for the improvement of the career guidance system, an advertising campaign for the activation of the youth, and development of an automated comprehensive monitoring and evaluation system of the Active Labour Market Policies with the participation and input of </w:t>
      </w:r>
      <w:r w:rsidRPr="00350989">
        <w:lastRenderedPageBreak/>
        <w:t>all stakeholders, are foreseen. Nevertheless no specific reference is made to young people with disabilities and how their employment can be enhanced by the above measures</w:t>
      </w:r>
    </w:p>
    <w:p w14:paraId="37DF2164" w14:textId="77777777" w:rsidR="00576DEC" w:rsidRPr="00350989" w:rsidRDefault="00576DEC" w:rsidP="00244378">
      <w:pPr>
        <w:numPr>
          <w:ilvl w:val="0"/>
          <w:numId w:val="6"/>
        </w:numPr>
        <w:autoSpaceDE w:val="0"/>
        <w:autoSpaceDN w:val="0"/>
        <w:adjustRightInd w:val="0"/>
        <w:spacing w:after="0"/>
        <w:ind w:left="567" w:hanging="567"/>
      </w:pPr>
      <w:r w:rsidRPr="00350989">
        <w:t>Wage subsidies, which includes two schemes for helping employers hire unemployed people. However the first scheme - Target Group: Enterprises of the retail trade sector employing 1-4 employees, was only called once due to low interest from enterprises. The second scheme - Target Group: Long Term Unemployed (≥ 6 months), created 1176 new job positions with 946 enterprises. However there is no data on how many people with disabilities have been employed (if any) within these schemes. In addition to these schemes a number of others were foreseen in 2016 including three which directly or indirectly refer to people with disabilities. These are: Incentives for the Employment of Disabled People, Incentives for the Recruitment of People who belong to the Disadvantaged Social Groups, Scheme for the Employment of the Unemployed for Providing Care Services for Disabled Persons.</w:t>
      </w:r>
    </w:p>
    <w:p w14:paraId="4B740D78" w14:textId="77777777" w:rsidR="004B1341" w:rsidRPr="00350989" w:rsidRDefault="004B1341" w:rsidP="00244378">
      <w:pPr>
        <w:numPr>
          <w:ilvl w:val="0"/>
          <w:numId w:val="6"/>
        </w:numPr>
        <w:autoSpaceDE w:val="0"/>
        <w:autoSpaceDN w:val="0"/>
        <w:adjustRightInd w:val="0"/>
        <w:spacing w:after="0"/>
        <w:ind w:left="567" w:hanging="567"/>
      </w:pPr>
      <w:r w:rsidRPr="00350989">
        <w:t>Other measures are also outlined in NRP 2016, including enhancement of public employment service, subsidy scheme to promote the creation of new jobs with flexible arrangements, entrepreneurship, active labour market policies and combating undeclared, which however do not seem to target specifically (or not) people with disabilities.</w:t>
      </w:r>
    </w:p>
    <w:p w14:paraId="3E359660" w14:textId="77777777" w:rsidR="004B1341" w:rsidRPr="00350989" w:rsidRDefault="004B1341" w:rsidP="00244378">
      <w:pPr>
        <w:spacing w:after="0"/>
      </w:pPr>
    </w:p>
    <w:p w14:paraId="28D6BC4A" w14:textId="07BDF3AF" w:rsidR="009A596D" w:rsidRPr="00350989" w:rsidRDefault="009A596D" w:rsidP="000D7F61">
      <w:pPr>
        <w:spacing w:after="0"/>
      </w:pPr>
      <w:r w:rsidRPr="00350989">
        <w:t>According to the Annual Report (2012)</w:t>
      </w:r>
      <w:r w:rsidRPr="00350989">
        <w:rPr>
          <w:rStyle w:val="FootnoteReference"/>
        </w:rPr>
        <w:footnoteReference w:id="35"/>
      </w:r>
      <w:r w:rsidRPr="00350989">
        <w:t xml:space="preserve"> (p. 97) of the Ministry of Labour and Social Insurance (no new annual reports are available yet), in order to provide motivation for the employment of people with disabilities the government has implemented a Scheme for Motivation of Employment of People with Disabilities in the Private Sector, through which private companies are provided with 75</w:t>
      </w:r>
      <w:r w:rsidR="009A0575" w:rsidRPr="00350989">
        <w:t xml:space="preserve"> %</w:t>
      </w:r>
      <w:r w:rsidRPr="00350989">
        <w:t xml:space="preserve"> of the annual employee cost, (max. €</w:t>
      </w:r>
      <w:r w:rsidR="007E5857" w:rsidRPr="00350989">
        <w:rPr>
          <w:rStyle w:val="apple-converted-space"/>
          <w:color w:val="000000"/>
          <w:shd w:val="clear" w:color="auto" w:fill="FFFFFF"/>
        </w:rPr>
        <w:t> </w:t>
      </w:r>
      <w:r w:rsidR="007E5857" w:rsidRPr="00350989">
        <w:t>1</w:t>
      </w:r>
      <w:r w:rsidRPr="00350989">
        <w:t>5,000 annually) for the first 24 months of employment. The scheme has been available between 29.9.2009 and 30.6.2014, (application deadline 31.12.2010), with a total budget of €</w:t>
      </w:r>
      <w:r w:rsidR="007E5857" w:rsidRPr="00350989">
        <w:rPr>
          <w:rStyle w:val="apple-converted-space"/>
          <w:color w:val="000000"/>
          <w:shd w:val="clear" w:color="auto" w:fill="FFFFFF"/>
        </w:rPr>
        <w:t> </w:t>
      </w:r>
      <w:r w:rsidRPr="00350989">
        <w:t xml:space="preserve">1,000,000. The initial aim was the employment of 120 </w:t>
      </w:r>
      <w:r w:rsidR="007E5857" w:rsidRPr="00350989">
        <w:t xml:space="preserve">individuals with disabilities. </w:t>
      </w:r>
      <w:r w:rsidRPr="00350989">
        <w:t>Up to 31.12.2012, 90 unemployed individuals with disabilities had been employed, 73 of whom were approved for funding under the scheme, with the funding for private businesses amounting to €</w:t>
      </w:r>
      <w:r w:rsidR="007E5857" w:rsidRPr="00350989">
        <w:rPr>
          <w:rStyle w:val="apple-converted-space"/>
          <w:color w:val="000000"/>
          <w:shd w:val="clear" w:color="auto" w:fill="FFFFFF"/>
        </w:rPr>
        <w:t> </w:t>
      </w:r>
      <w:r w:rsidRPr="00350989">
        <w:t>899,634.</w:t>
      </w:r>
    </w:p>
    <w:p w14:paraId="51022D70" w14:textId="77777777" w:rsidR="009A5D69" w:rsidRPr="00350989" w:rsidRDefault="009A5D69" w:rsidP="000D7F61">
      <w:pPr>
        <w:spacing w:after="0"/>
      </w:pPr>
    </w:p>
    <w:p w14:paraId="5B95F143" w14:textId="7519C51C" w:rsidR="009A596D" w:rsidRPr="00350989" w:rsidRDefault="009A596D" w:rsidP="000D7F61">
      <w:pPr>
        <w:spacing w:after="0"/>
      </w:pPr>
      <w:r w:rsidRPr="00350989">
        <w:t>Employment of people with disability in the public sector has been enhanced under the provisions of The Recruitment of Persons with Disabilities in the Wider Public Sector (S</w:t>
      </w:r>
      <w:r w:rsidR="007E5857" w:rsidRPr="00350989">
        <w:t xml:space="preserve">pecial Provisions) Law of 2009 </w:t>
      </w:r>
      <w:r w:rsidRPr="00350989">
        <w:t>(N.146(I)/2009)</w:t>
      </w:r>
      <w:r w:rsidRPr="00350989">
        <w:rPr>
          <w:rStyle w:val="FootnoteReference"/>
        </w:rPr>
        <w:footnoteReference w:id="36"/>
      </w:r>
      <w:r w:rsidR="004A110E" w:rsidRPr="00350989">
        <w:t>. According to the 2014 Annual Report</w:t>
      </w:r>
      <w:r w:rsidR="00CB4E4C" w:rsidRPr="00350989">
        <w:rPr>
          <w:rStyle w:val="FootnoteReference"/>
        </w:rPr>
        <w:footnoteReference w:id="37"/>
      </w:r>
      <w:r w:rsidR="004A110E" w:rsidRPr="00350989">
        <w:t xml:space="preserve"> of the Department for Social Inclusion of People with Disabilities, assessments for the eligibility for employment unde</w:t>
      </w:r>
      <w:r w:rsidR="00775294" w:rsidRPr="00350989">
        <w:t xml:space="preserve">r this Law are performed since </w:t>
      </w:r>
      <w:r w:rsidR="004A110E" w:rsidRPr="00350989">
        <w:lastRenderedPageBreak/>
        <w:t xml:space="preserve">2014 by the new system </w:t>
      </w:r>
      <w:r w:rsidR="004A110E" w:rsidRPr="00350989">
        <w:rPr>
          <w:rStyle w:val="Strong"/>
          <w:b w:val="0"/>
          <w:color w:val="000000"/>
          <w:shd w:val="clear" w:color="auto" w:fill="FFFFFF"/>
        </w:rPr>
        <w:t xml:space="preserve">of assessing disability and functioning, and during that year 82 assessment were performed and 26 individuals were considered eligible for appointment in the public sector, 9 of which were appointed to the Education Public Sector in 2014, in addition to those appointed in previous years for whom employment was renewed. </w:t>
      </w:r>
      <w:r w:rsidR="001F31F8" w:rsidRPr="00350989">
        <w:rPr>
          <w:rStyle w:val="Strong"/>
          <w:b w:val="0"/>
          <w:color w:val="000000"/>
          <w:shd w:val="clear" w:color="auto" w:fill="FFFFFF"/>
        </w:rPr>
        <w:t>In total, since 2009 that the Law was put in force 92 people with disabi</w:t>
      </w:r>
      <w:r w:rsidR="00EF377F" w:rsidRPr="00350989">
        <w:rPr>
          <w:rStyle w:val="Strong"/>
          <w:b w:val="0"/>
          <w:color w:val="000000"/>
          <w:shd w:val="clear" w:color="auto" w:fill="FFFFFF"/>
        </w:rPr>
        <w:t>lities have been employed to the general public sector (78 in Educat</w:t>
      </w:r>
      <w:r w:rsidR="00CB4E4C" w:rsidRPr="00350989">
        <w:rPr>
          <w:rStyle w:val="Strong"/>
          <w:b w:val="0"/>
          <w:color w:val="000000"/>
          <w:shd w:val="clear" w:color="auto" w:fill="FFFFFF"/>
        </w:rPr>
        <w:t>i</w:t>
      </w:r>
      <w:r w:rsidR="00EF377F" w:rsidRPr="00350989">
        <w:rPr>
          <w:rStyle w:val="Strong"/>
          <w:b w:val="0"/>
          <w:color w:val="000000"/>
          <w:shd w:val="clear" w:color="auto" w:fill="FFFFFF"/>
        </w:rPr>
        <w:t>on, 2 in Public Services, 9 in Public Services with a contract of specified duration, and 1 in the semi-public sector on th</w:t>
      </w:r>
      <w:r w:rsidR="007E5857" w:rsidRPr="00350989">
        <w:rPr>
          <w:rStyle w:val="Strong"/>
          <w:b w:val="0"/>
          <w:color w:val="000000"/>
          <w:shd w:val="clear" w:color="auto" w:fill="FFFFFF"/>
        </w:rPr>
        <w:t>e basis of specified duration.</w:t>
      </w:r>
    </w:p>
    <w:p w14:paraId="22556D6F" w14:textId="77777777" w:rsidR="009A5D69" w:rsidRPr="00350989" w:rsidRDefault="009A5D69" w:rsidP="000D7F61">
      <w:pPr>
        <w:spacing w:after="0"/>
      </w:pPr>
    </w:p>
    <w:p w14:paraId="425409D9" w14:textId="77777777" w:rsidR="009A596D" w:rsidRPr="00350989" w:rsidRDefault="009A596D" w:rsidP="000D7F61">
      <w:pPr>
        <w:spacing w:after="0"/>
      </w:pPr>
      <w:r w:rsidRPr="00350989">
        <w:t>In addition to the above, three other employment schemes have been implemented</w:t>
      </w:r>
      <w:r w:rsidR="00274598" w:rsidRPr="00350989">
        <w:t xml:space="preserve">, for which details on latest data are provided in section 2.2 (table 5.1). These are: </w:t>
      </w:r>
    </w:p>
    <w:p w14:paraId="2D0AB176" w14:textId="77777777" w:rsidR="009A5D69" w:rsidRPr="00350989" w:rsidRDefault="009A5D69" w:rsidP="000D7F61">
      <w:pPr>
        <w:spacing w:after="0"/>
      </w:pPr>
    </w:p>
    <w:p w14:paraId="0E46B75D" w14:textId="77777777" w:rsidR="00274598" w:rsidRPr="00350989" w:rsidRDefault="009A596D" w:rsidP="000D7F61">
      <w:pPr>
        <w:pStyle w:val="ListParagraph"/>
        <w:numPr>
          <w:ilvl w:val="0"/>
          <w:numId w:val="4"/>
        </w:numPr>
        <w:spacing w:after="0"/>
        <w:ind w:left="567" w:hanging="567"/>
      </w:pPr>
      <w:r w:rsidRPr="00350989">
        <w:rPr>
          <w:b/>
        </w:rPr>
        <w:t>Scheme for employment with support</w:t>
      </w:r>
      <w:r w:rsidRPr="00350989">
        <w:t>: under which individuals with severe disabilities are employed in the open market with the support of a carer/support staff</w:t>
      </w:r>
    </w:p>
    <w:p w14:paraId="49F526CD" w14:textId="4983D876" w:rsidR="009A596D" w:rsidRPr="00350989" w:rsidRDefault="009A596D" w:rsidP="000D7F61">
      <w:pPr>
        <w:pStyle w:val="ListParagraph"/>
        <w:numPr>
          <w:ilvl w:val="0"/>
          <w:numId w:val="4"/>
        </w:numPr>
        <w:spacing w:after="0"/>
        <w:ind w:left="567" w:hanging="567"/>
      </w:pPr>
      <w:r w:rsidRPr="00350989">
        <w:rPr>
          <w:b/>
        </w:rPr>
        <w:t>Scheme for the vocational training of people with disabilities:</w:t>
      </w:r>
      <w:r w:rsidRPr="00350989">
        <w:t xml:space="preserve"> which covers the cost of training up to €</w:t>
      </w:r>
      <w:r w:rsidR="00851E58" w:rsidRPr="00350989">
        <w:rPr>
          <w:rStyle w:val="apple-converted-space"/>
          <w:color w:val="000000"/>
          <w:shd w:val="clear" w:color="auto" w:fill="FFFFFF"/>
        </w:rPr>
        <w:t> </w:t>
      </w:r>
      <w:r w:rsidRPr="00350989">
        <w:t xml:space="preserve">1,708,60, providing opportunities to individuals with disabilities who face employment or advancement difficulties, with priority given to unemployed people with severe disabilities. </w:t>
      </w:r>
    </w:p>
    <w:p w14:paraId="5CDE7344" w14:textId="3DB6CA8A" w:rsidR="00274598" w:rsidRPr="00350989" w:rsidRDefault="009A596D" w:rsidP="000D7F61">
      <w:pPr>
        <w:pStyle w:val="ListParagraph"/>
        <w:numPr>
          <w:ilvl w:val="0"/>
          <w:numId w:val="4"/>
        </w:numPr>
        <w:spacing w:after="0"/>
        <w:ind w:left="567" w:hanging="567"/>
      </w:pPr>
      <w:r w:rsidRPr="00350989">
        <w:rPr>
          <w:b/>
        </w:rPr>
        <w:t>Scheme for the development of small units for self-employment of people with disabilities</w:t>
      </w:r>
      <w:r w:rsidRPr="00350989">
        <w:t>: which aims to provide motivation to people with disabilities to create their own employment units and to be integrated in the labour market. It provides a total funding of up to €</w:t>
      </w:r>
      <w:r w:rsidR="00851E58" w:rsidRPr="00350989">
        <w:rPr>
          <w:rStyle w:val="apple-converted-space"/>
          <w:color w:val="000000"/>
          <w:shd w:val="clear" w:color="auto" w:fill="FFFFFF"/>
        </w:rPr>
        <w:t> </w:t>
      </w:r>
      <w:r w:rsidRPr="00350989">
        <w:t xml:space="preserve">8,543,01, to individuals with disabilities (16-63 years old) who cannot afford any type of self-employment, with priority given to severe disabilities and intellectual disabilities. </w:t>
      </w:r>
    </w:p>
    <w:p w14:paraId="5CF8EE03" w14:textId="77777777" w:rsidR="009A596D" w:rsidRPr="00350989" w:rsidRDefault="009A596D" w:rsidP="000D7F61">
      <w:pPr>
        <w:pStyle w:val="ListParagraph"/>
        <w:spacing w:after="0"/>
        <w:ind w:left="567"/>
      </w:pPr>
    </w:p>
    <w:p w14:paraId="54CFE206" w14:textId="6507095C" w:rsidR="0057378E" w:rsidRPr="00350989" w:rsidRDefault="00677F60" w:rsidP="000D7F61">
      <w:pPr>
        <w:autoSpaceDE w:val="0"/>
        <w:autoSpaceDN w:val="0"/>
        <w:adjustRightInd w:val="0"/>
        <w:spacing w:after="0"/>
      </w:pPr>
      <w:r w:rsidRPr="00350989">
        <w:t>Nevertheless, i</w:t>
      </w:r>
      <w:r w:rsidR="0057378E" w:rsidRPr="00350989">
        <w:t>n terms of the employment of disabled people, there are a number of legal barriers that undermine attempts to enhance the employability levels of disabled individuals. For instance, the ‘reasonable measures’ caveat articulated in the Individuals with Disability Law (Ν</w:t>
      </w:r>
      <w:r w:rsidR="0057378E" w:rsidRPr="00350989">
        <w:rPr>
          <w:bCs/>
        </w:rPr>
        <w:t>. 127(</w:t>
      </w:r>
      <w:r w:rsidR="0057378E" w:rsidRPr="00350989">
        <w:t>Ι</w:t>
      </w:r>
      <w:r w:rsidR="0057378E" w:rsidRPr="00350989">
        <w:rPr>
          <w:bCs/>
        </w:rPr>
        <w:t>)/2000)</w:t>
      </w:r>
      <w:r w:rsidR="00851E58" w:rsidRPr="00350989">
        <w:rPr>
          <w:bCs/>
        </w:rPr>
        <w:t>,</w:t>
      </w:r>
      <w:r w:rsidRPr="00350989">
        <w:rPr>
          <w:rStyle w:val="FootnoteReference"/>
          <w:bCs/>
        </w:rPr>
        <w:footnoteReference w:id="38"/>
      </w:r>
      <w:r w:rsidR="0057378E" w:rsidRPr="00350989">
        <w:t xml:space="preserve"> is contingent on economic considerations, which give legal space to employers to evade their legal obligations towards disabled individuals. According to the stipulations of the Law ‘Reasonable measures’ can be implemented only to the extent to which they do not place disproportionate economic bur</w:t>
      </w:r>
      <w:r w:rsidR="00775294" w:rsidRPr="00350989">
        <w:t xml:space="preserve">den on the employer concerned. </w:t>
      </w:r>
      <w:r w:rsidR="0057378E" w:rsidRPr="00350989">
        <w:t xml:space="preserve">As the following extracts from the legislative document suggest: </w:t>
      </w:r>
    </w:p>
    <w:p w14:paraId="461EE076" w14:textId="77777777" w:rsidR="009A5D69" w:rsidRPr="00350989" w:rsidRDefault="009A5D69" w:rsidP="000D7F61">
      <w:pPr>
        <w:autoSpaceDE w:val="0"/>
        <w:autoSpaceDN w:val="0"/>
        <w:adjustRightInd w:val="0"/>
        <w:spacing w:after="0"/>
      </w:pPr>
    </w:p>
    <w:p w14:paraId="2995F85E" w14:textId="4C1BEDB8" w:rsidR="0057378E" w:rsidRPr="00350989" w:rsidRDefault="0057378E" w:rsidP="000D7F61">
      <w:pPr>
        <w:widowControl w:val="0"/>
        <w:autoSpaceDE w:val="0"/>
        <w:autoSpaceDN w:val="0"/>
        <w:adjustRightInd w:val="0"/>
        <w:spacing w:after="0"/>
        <w:ind w:left="567"/>
      </w:pPr>
      <w:r w:rsidRPr="00350989">
        <w:t>5 (c) 72 (I) (1A) Reasonable adjustments are provided in order to ensure compliance with the principle of equal treatment for persons with disabilities. The employer must take appropriate measures, in accordance with the needs that arise from a particular case in order for the individual with a disability can have access to work positions, to exercise their profession, to be promoted or to receive training, as l</w:t>
      </w:r>
      <w:r w:rsidR="00851E58" w:rsidRPr="00350989">
        <w:t>ong as these actions</w:t>
      </w:r>
      <w:r w:rsidRPr="00350989">
        <w:t xml:space="preserve"> do not result in a disproportionate burden for the employer</w:t>
      </w:r>
    </w:p>
    <w:p w14:paraId="7965FE65" w14:textId="77777777" w:rsidR="00677F60" w:rsidRPr="00350989" w:rsidRDefault="00677F60" w:rsidP="000D7F61">
      <w:pPr>
        <w:widowControl w:val="0"/>
        <w:autoSpaceDE w:val="0"/>
        <w:autoSpaceDN w:val="0"/>
        <w:adjustRightInd w:val="0"/>
        <w:spacing w:after="0"/>
      </w:pPr>
    </w:p>
    <w:p w14:paraId="58DD5722" w14:textId="77777777" w:rsidR="00677F60" w:rsidRPr="00350989" w:rsidRDefault="00677F60" w:rsidP="000D7F61">
      <w:pPr>
        <w:widowControl w:val="0"/>
        <w:autoSpaceDE w:val="0"/>
        <w:autoSpaceDN w:val="0"/>
        <w:adjustRightInd w:val="0"/>
        <w:spacing w:after="0"/>
      </w:pPr>
      <w:r w:rsidRPr="00350989">
        <w:t xml:space="preserve">Both evidence from experience and research (see reference to ENTELIS project in section 2.5, footnotes 28 &amp;29) have shown that lack of adjustments and employers </w:t>
      </w:r>
      <w:r w:rsidRPr="00350989">
        <w:lastRenderedPageBreak/>
        <w:t>attitudes towards disability are a major barrier and consideration expressed by the people with disabilities themselves.</w:t>
      </w:r>
    </w:p>
    <w:p w14:paraId="3E64A9AA" w14:textId="77777777" w:rsidR="00677F60" w:rsidRPr="00350989" w:rsidRDefault="00677F60" w:rsidP="000D7F61">
      <w:pPr>
        <w:widowControl w:val="0"/>
        <w:autoSpaceDE w:val="0"/>
        <w:autoSpaceDN w:val="0"/>
        <w:adjustRightInd w:val="0"/>
        <w:spacing w:after="0"/>
      </w:pPr>
    </w:p>
    <w:p w14:paraId="36CDB154" w14:textId="3599C493" w:rsidR="0057378E" w:rsidRPr="00350989" w:rsidRDefault="0057378E" w:rsidP="00851E58">
      <w:pPr>
        <w:widowControl w:val="0"/>
        <w:autoSpaceDE w:val="0"/>
        <w:autoSpaceDN w:val="0"/>
        <w:adjustRightInd w:val="0"/>
        <w:spacing w:after="0"/>
        <w:ind w:left="567" w:hanging="567"/>
      </w:pPr>
      <w:r w:rsidRPr="00350989">
        <w:t xml:space="preserve">(2) </w:t>
      </w:r>
      <w:r w:rsidR="00851E58" w:rsidRPr="00350989">
        <w:tab/>
      </w:r>
      <w:r w:rsidRPr="00350989">
        <w:t>For the purposes of this article ‘reasonable measures’ means those measures provided in any other Law or regulation and that should be taken in order to implement the above principles, taking into consideration the following:</w:t>
      </w:r>
    </w:p>
    <w:p w14:paraId="0C18C3CD" w14:textId="36C9E1C4" w:rsidR="0057378E" w:rsidRPr="00350989" w:rsidRDefault="0057378E" w:rsidP="00851E58">
      <w:pPr>
        <w:pStyle w:val="ListParagraph"/>
        <w:widowControl w:val="0"/>
        <w:numPr>
          <w:ilvl w:val="0"/>
          <w:numId w:val="9"/>
        </w:numPr>
        <w:autoSpaceDE w:val="0"/>
        <w:autoSpaceDN w:val="0"/>
        <w:adjustRightInd w:val="0"/>
        <w:spacing w:after="0"/>
        <w:ind w:hanging="720"/>
      </w:pPr>
      <w:r w:rsidRPr="00350989">
        <w:t>The nature and the cost required the measures</w:t>
      </w:r>
    </w:p>
    <w:p w14:paraId="2D1C529C" w14:textId="660D4341" w:rsidR="0057378E" w:rsidRPr="00350989" w:rsidRDefault="0057378E" w:rsidP="00851E58">
      <w:pPr>
        <w:pStyle w:val="ListParagraph"/>
        <w:widowControl w:val="0"/>
        <w:numPr>
          <w:ilvl w:val="0"/>
          <w:numId w:val="9"/>
        </w:numPr>
        <w:autoSpaceDE w:val="0"/>
        <w:autoSpaceDN w:val="0"/>
        <w:adjustRightInd w:val="0"/>
        <w:spacing w:after="0"/>
        <w:ind w:hanging="720"/>
      </w:pPr>
      <w:r w:rsidRPr="00350989">
        <w:t>The financial resources of the person who has the obligation to take the measures</w:t>
      </w:r>
    </w:p>
    <w:p w14:paraId="3299FAEC" w14:textId="0EA33BED" w:rsidR="0057378E" w:rsidRPr="00350989" w:rsidRDefault="0057378E" w:rsidP="00851E58">
      <w:pPr>
        <w:pStyle w:val="ListParagraph"/>
        <w:widowControl w:val="0"/>
        <w:numPr>
          <w:ilvl w:val="0"/>
          <w:numId w:val="9"/>
        </w:numPr>
        <w:autoSpaceDE w:val="0"/>
        <w:autoSpaceDN w:val="0"/>
        <w:adjustRightInd w:val="0"/>
        <w:spacing w:after="0"/>
        <w:ind w:hanging="720"/>
      </w:pPr>
      <w:r w:rsidRPr="00350989">
        <w:t>The financial conditions and ot</w:t>
      </w:r>
      <w:r w:rsidR="00775294" w:rsidRPr="00350989">
        <w:t xml:space="preserve">her obligations of the state </w:t>
      </w:r>
      <w:r w:rsidRPr="00350989">
        <w:t>when the obligation to take measures refers to the governmental sector</w:t>
      </w:r>
    </w:p>
    <w:p w14:paraId="583BF7D0" w14:textId="796B2886" w:rsidR="0057378E" w:rsidRPr="00350989" w:rsidRDefault="0057378E" w:rsidP="00851E58">
      <w:pPr>
        <w:pStyle w:val="ListParagraph"/>
        <w:widowControl w:val="0"/>
        <w:numPr>
          <w:ilvl w:val="0"/>
          <w:numId w:val="9"/>
        </w:numPr>
        <w:autoSpaceDE w:val="0"/>
        <w:autoSpaceDN w:val="0"/>
        <w:adjustRightInd w:val="0"/>
        <w:spacing w:after="0"/>
        <w:ind w:hanging="720"/>
      </w:pPr>
      <w:r w:rsidRPr="00350989">
        <w:t>Donations from the public or other sources as a contribution to the total cost of these measures.</w:t>
      </w:r>
    </w:p>
    <w:p w14:paraId="0F9EDCBA" w14:textId="77777777" w:rsidR="009A5D69" w:rsidRPr="00350989" w:rsidRDefault="009A5D69" w:rsidP="000D7F61">
      <w:pPr>
        <w:widowControl w:val="0"/>
        <w:autoSpaceDE w:val="0"/>
        <w:autoSpaceDN w:val="0"/>
        <w:adjustRightInd w:val="0"/>
        <w:spacing w:after="0"/>
      </w:pPr>
    </w:p>
    <w:p w14:paraId="5C869034" w14:textId="77777777" w:rsidR="0057378E" w:rsidRPr="00350989" w:rsidRDefault="0057378E" w:rsidP="000D7F61">
      <w:pPr>
        <w:widowControl w:val="0"/>
        <w:autoSpaceDE w:val="0"/>
        <w:autoSpaceDN w:val="0"/>
        <w:adjustRightInd w:val="0"/>
        <w:spacing w:after="0"/>
      </w:pPr>
      <w:r w:rsidRPr="00350989">
        <w:t xml:space="preserve">The fourth clause </w:t>
      </w:r>
      <w:r w:rsidR="00677F60" w:rsidRPr="00350989">
        <w:t xml:space="preserve">(d) </w:t>
      </w:r>
      <w:r w:rsidRPr="00350989">
        <w:t>not only raises significant legal barriers to maximizing the employability level of disabled individuals, but also corroborates the charity model of disability in terms of the ways in which disability rights and entitlements are presented as being contingent on the level of donations made to meet the cost of ‘reasonable measures’</w:t>
      </w:r>
      <w:r w:rsidR="009A5D69" w:rsidRPr="00350989">
        <w:t>.</w:t>
      </w:r>
    </w:p>
    <w:p w14:paraId="3157036B" w14:textId="77777777" w:rsidR="009A5D69" w:rsidRPr="00350989" w:rsidRDefault="009A5D69" w:rsidP="000D7F61">
      <w:pPr>
        <w:widowControl w:val="0"/>
        <w:autoSpaceDE w:val="0"/>
        <w:autoSpaceDN w:val="0"/>
        <w:adjustRightInd w:val="0"/>
        <w:spacing w:after="0"/>
      </w:pPr>
    </w:p>
    <w:p w14:paraId="722AE241" w14:textId="791124D4" w:rsidR="0010423F" w:rsidRPr="00350989" w:rsidRDefault="0010423F" w:rsidP="00244378">
      <w:pPr>
        <w:pStyle w:val="Heading2"/>
      </w:pPr>
      <w:bookmarkStart w:id="35" w:name="_Toc440298961"/>
      <w:bookmarkStart w:id="36" w:name="_Toc483409968"/>
      <w:r w:rsidRPr="00350989">
        <w:t>Education</w:t>
      </w:r>
      <w:bookmarkEnd w:id="35"/>
      <w:bookmarkEnd w:id="36"/>
    </w:p>
    <w:p w14:paraId="7236D544" w14:textId="77777777" w:rsidR="009A5D69" w:rsidRPr="00350989" w:rsidRDefault="009A5D69" w:rsidP="000D7F61">
      <w:pPr>
        <w:spacing w:after="0"/>
      </w:pPr>
    </w:p>
    <w:p w14:paraId="3CA08312" w14:textId="17E6C608" w:rsidR="004A3965" w:rsidRPr="00350989" w:rsidRDefault="00AA2340" w:rsidP="000D7F61">
      <w:pPr>
        <w:spacing w:after="0"/>
      </w:pPr>
      <w:r w:rsidRPr="00350989">
        <w:t>With regards to e</w:t>
      </w:r>
      <w:r w:rsidR="004A3965" w:rsidRPr="00350989">
        <w:t>ducation, the actions of the National Disability Action Plan, are outlined under the 6</w:t>
      </w:r>
      <w:r w:rsidR="004A3965" w:rsidRPr="00350989">
        <w:rPr>
          <w:vertAlign w:val="superscript"/>
        </w:rPr>
        <w:t>th</w:t>
      </w:r>
      <w:r w:rsidR="004A3965" w:rsidRPr="00350989">
        <w:t xml:space="preserve"> Thematic Area (Education an</w:t>
      </w:r>
      <w:r w:rsidR="00775294" w:rsidRPr="00350989">
        <w:t xml:space="preserve">d Vocational Training, p. 15): </w:t>
      </w:r>
    </w:p>
    <w:p w14:paraId="74D11CA2" w14:textId="77777777" w:rsidR="00C72818" w:rsidRPr="00350989" w:rsidRDefault="00C72818" w:rsidP="000D7F61">
      <w:pPr>
        <w:spacing w:after="0"/>
      </w:pPr>
    </w:p>
    <w:p w14:paraId="15445D8D" w14:textId="77777777" w:rsidR="004A3965" w:rsidRPr="00350989" w:rsidRDefault="004A3965" w:rsidP="000D7F61">
      <w:pPr>
        <w:pStyle w:val="ListParagraph"/>
        <w:numPr>
          <w:ilvl w:val="0"/>
          <w:numId w:val="4"/>
        </w:numPr>
        <w:spacing w:after="0"/>
        <w:ind w:left="567" w:hanging="567"/>
      </w:pPr>
      <w:r w:rsidRPr="00350989">
        <w:rPr>
          <w:b/>
        </w:rPr>
        <w:t>Action 25:</w:t>
      </w:r>
      <w:r w:rsidRPr="00350989">
        <w:t xml:space="preserve"> Transition from school to vocational rehabilitation, timetable 2014-2015, expected outcomes: Completion of design procedures to be followed for the identification of needs and opportunities of children attending pre-vocational training programs, finding the appropriate employment program for each child</w:t>
      </w:r>
    </w:p>
    <w:p w14:paraId="7AC5B6DF" w14:textId="77777777" w:rsidR="004A3965" w:rsidRPr="00350989" w:rsidRDefault="004A3965" w:rsidP="000D7F61">
      <w:pPr>
        <w:pStyle w:val="ListParagraph"/>
        <w:numPr>
          <w:ilvl w:val="0"/>
          <w:numId w:val="4"/>
        </w:numPr>
        <w:spacing w:after="0"/>
        <w:ind w:left="567" w:hanging="567"/>
      </w:pPr>
      <w:r w:rsidRPr="00350989">
        <w:rPr>
          <w:b/>
        </w:rPr>
        <w:t>Action 26:</w:t>
      </w:r>
      <w:r w:rsidRPr="00350989">
        <w:t xml:space="preserve"> Pre-vocational training: Upgrade Pre-vocational Training Programs implemented by the Ministry of Education and Culture, timetable: 2014-2015, expected outcomes: Completion of the process in respect with the evaluation of existing structures and formulation of a proposal for upgrading pre-vocational programs.</w:t>
      </w:r>
    </w:p>
    <w:p w14:paraId="0E058240" w14:textId="77777777" w:rsidR="004A3965" w:rsidRPr="00350989" w:rsidRDefault="004A3965" w:rsidP="000D7F61">
      <w:pPr>
        <w:pStyle w:val="ListParagraph"/>
        <w:numPr>
          <w:ilvl w:val="0"/>
          <w:numId w:val="4"/>
        </w:numPr>
        <w:spacing w:after="0"/>
        <w:ind w:left="567" w:hanging="567"/>
      </w:pPr>
      <w:r w:rsidRPr="00350989">
        <w:rPr>
          <w:b/>
        </w:rPr>
        <w:t>Action 28:</w:t>
      </w:r>
      <w:r w:rsidRPr="00350989">
        <w:t xml:space="preserve"> Training of adults with disabilities, timetable 2015, expected outcomes: identification of inactive adult persons with disabilities, determination of training needs and planning of additional training programs.</w:t>
      </w:r>
    </w:p>
    <w:p w14:paraId="046280D5" w14:textId="77777777" w:rsidR="00C72818" w:rsidRPr="00350989" w:rsidRDefault="00C72818" w:rsidP="000D7F61">
      <w:pPr>
        <w:spacing w:after="0"/>
      </w:pPr>
    </w:p>
    <w:p w14:paraId="51F52BF7" w14:textId="5963786A" w:rsidR="00AE72A6" w:rsidRPr="00350989" w:rsidRDefault="00AE72A6" w:rsidP="000D7F61">
      <w:pPr>
        <w:spacing w:after="0"/>
      </w:pPr>
      <w:r w:rsidRPr="00350989">
        <w:t>According to the 201</w:t>
      </w:r>
      <w:r w:rsidR="004B126E" w:rsidRPr="00350989">
        <w:t>6</w:t>
      </w:r>
      <w:r w:rsidRPr="00350989">
        <w:t xml:space="preserve"> NRP the national target for education is to reduce the rate of early school leavers to 10</w:t>
      </w:r>
      <w:r w:rsidR="009A0575" w:rsidRPr="00350989">
        <w:t xml:space="preserve"> %</w:t>
      </w:r>
      <w:r w:rsidR="0093373C" w:rsidRPr="00350989">
        <w:t>. R</w:t>
      </w:r>
      <w:r w:rsidRPr="00350989">
        <w:t>elated actions include the follow</w:t>
      </w:r>
      <w:r w:rsidR="005A5828" w:rsidRPr="00350989">
        <w:t>ing</w:t>
      </w:r>
      <w:r w:rsidRPr="00350989">
        <w:t xml:space="preserve"> measures</w:t>
      </w:r>
      <w:r w:rsidR="00CA14B3" w:rsidRPr="00350989">
        <w:t>. Some of them d</w:t>
      </w:r>
      <w:r w:rsidRPr="00350989">
        <w:t>o not make any explicit reference to students with disabilities and/or special e</w:t>
      </w:r>
      <w:r w:rsidR="0093373C" w:rsidRPr="00350989">
        <w:t>ducational needs despite</w:t>
      </w:r>
      <w:r w:rsidRPr="00350989">
        <w:t xml:space="preserve"> concerns about enhancing social and school inclusion</w:t>
      </w:r>
      <w:r w:rsidR="00CA14B3" w:rsidRPr="00350989">
        <w:t>, and others even if they refer to disability the approach has been criticised as ineffective and not consisted</w:t>
      </w:r>
      <w:r w:rsidRPr="00350989">
        <w:t xml:space="preserve">: </w:t>
      </w:r>
    </w:p>
    <w:p w14:paraId="45A49299" w14:textId="77777777" w:rsidR="00C72818" w:rsidRPr="00350989" w:rsidRDefault="00C72818" w:rsidP="000D7F61">
      <w:pPr>
        <w:spacing w:after="0"/>
      </w:pPr>
    </w:p>
    <w:p w14:paraId="5598D8B0" w14:textId="1ED00E49" w:rsidR="004B126E" w:rsidRPr="00350989" w:rsidRDefault="00442878" w:rsidP="00851E58">
      <w:pPr>
        <w:pStyle w:val="ListParagraph"/>
        <w:numPr>
          <w:ilvl w:val="0"/>
          <w:numId w:val="11"/>
        </w:numPr>
        <w:spacing w:after="0"/>
        <w:ind w:left="567" w:hanging="567"/>
      </w:pPr>
      <w:r w:rsidRPr="00350989">
        <w:rPr>
          <w:i/>
        </w:rPr>
        <w:t xml:space="preserve">A </w:t>
      </w:r>
      <w:r w:rsidR="004B126E" w:rsidRPr="00350989">
        <w:rPr>
          <w:i/>
        </w:rPr>
        <w:t>Bill amending the relevant legislation aiming at a new more effective system for the recruitment of teachers was adopted on 9 July 2015</w:t>
      </w:r>
      <w:r w:rsidR="004B126E" w:rsidRPr="00350989">
        <w:t xml:space="preserve">.Through the new </w:t>
      </w:r>
      <w:r w:rsidR="004B126E" w:rsidRPr="00350989">
        <w:lastRenderedPageBreak/>
        <w:t>process, teachers will be appointed based on: examination results, extra qualifications and seniority.</w:t>
      </w:r>
    </w:p>
    <w:p w14:paraId="63BDC15C" w14:textId="3BBB7CB1" w:rsidR="004B126E" w:rsidRPr="00350989" w:rsidRDefault="00CA14B3" w:rsidP="00851E58">
      <w:pPr>
        <w:spacing w:after="0"/>
        <w:ind w:left="567" w:hanging="567"/>
      </w:pPr>
      <w:r w:rsidRPr="00350989">
        <w:t>(</w:t>
      </w:r>
      <w:r w:rsidR="00851E58" w:rsidRPr="00350989">
        <w:t>b)</w:t>
      </w:r>
      <w:r w:rsidR="00851E58" w:rsidRPr="00350989">
        <w:tab/>
      </w:r>
      <w:r w:rsidR="004B126E" w:rsidRPr="00350989">
        <w:rPr>
          <w:i/>
        </w:rPr>
        <w:t>New school timetables and reformed curricula started being implemented since September 2015</w:t>
      </w:r>
      <w:r w:rsidR="004B126E" w:rsidRPr="00350989">
        <w:t>. The curricula were restructured based on adequacy and success indicators. The introduction of these indicators will support the teachers in implementing the curriculum in a more efficient way.</w:t>
      </w:r>
      <w:r w:rsidRPr="00350989">
        <w:t xml:space="preserve"> However, research data assessing the new</w:t>
      </w:r>
      <w:r w:rsidR="00206D5B" w:rsidRPr="00350989">
        <w:t xml:space="preserve"> national</w:t>
      </w:r>
      <w:r w:rsidRPr="00350989">
        <w:t xml:space="preserve"> curricula</w:t>
      </w:r>
      <w:r w:rsidR="00206D5B" w:rsidRPr="00350989">
        <w:t xml:space="preserve"> (NNC)</w:t>
      </w:r>
      <w:r w:rsidRPr="00350989">
        <w:t xml:space="preserve"> in relation to disability showed that </w:t>
      </w:r>
      <w:r w:rsidR="00206D5B" w:rsidRPr="00350989">
        <w:t>it does not consider disabled people at equal terms with non-disabled people (problems in the rhetoric and content of the NNC). In its current form, the NNC views disability as an individual problem, and constructs a passive group of learners who can be easily marginalized. It needs to be more precise in its understanding of diversity and disability, and more inclusive than it appears in its current form</w:t>
      </w:r>
      <w:r w:rsidR="00851E58" w:rsidRPr="00350989">
        <w:t>.</w:t>
      </w:r>
      <w:r w:rsidR="006758BE" w:rsidRPr="00350989">
        <w:rPr>
          <w:rStyle w:val="FootnoteReference"/>
        </w:rPr>
        <w:footnoteReference w:id="39"/>
      </w:r>
      <w:r w:rsidR="00206D5B" w:rsidRPr="00350989">
        <w:t xml:space="preserve"> In addition </w:t>
      </w:r>
      <w:r w:rsidR="006758BE" w:rsidRPr="00350989">
        <w:t>it also failed to integrate the principles of the universal design for learning to an extent that would enable teachers realize that they are expected to accommodate all students in their class</w:t>
      </w:r>
      <w:r w:rsidR="00851E58" w:rsidRPr="00350989">
        <w:t>.</w:t>
      </w:r>
      <w:r w:rsidR="006758BE" w:rsidRPr="00350989">
        <w:rPr>
          <w:rStyle w:val="FootnoteReference"/>
        </w:rPr>
        <w:footnoteReference w:id="40"/>
      </w:r>
      <w:r w:rsidR="006758BE" w:rsidRPr="00350989">
        <w:t xml:space="preserve"> </w:t>
      </w:r>
      <w:r w:rsidR="00206D5B" w:rsidRPr="00350989">
        <w:t xml:space="preserve">As a result, the NNC does not foster the participation of all learners in the ‘humane and democratic school’ </w:t>
      </w:r>
      <w:r w:rsidR="006758BE" w:rsidRPr="00350989">
        <w:t xml:space="preserve">(as it proclaims) </w:t>
      </w:r>
      <w:r w:rsidR="00206D5B" w:rsidRPr="00350989">
        <w:t>and it cannot be characterized as inclusive.</w:t>
      </w:r>
    </w:p>
    <w:p w14:paraId="01AFD612" w14:textId="47550B4C" w:rsidR="004B126E" w:rsidRPr="00350989" w:rsidRDefault="00442878" w:rsidP="00851E58">
      <w:pPr>
        <w:spacing w:after="0"/>
        <w:ind w:left="567" w:hanging="567"/>
      </w:pPr>
      <w:r w:rsidRPr="00350989">
        <w:t xml:space="preserve">(c) </w:t>
      </w:r>
      <w:r w:rsidR="00851E58" w:rsidRPr="00350989">
        <w:tab/>
      </w:r>
      <w:r w:rsidR="004B126E" w:rsidRPr="00350989">
        <w:rPr>
          <w:i/>
        </w:rPr>
        <w:t>An ongoing social dialogue is taking place between the Ministry of Education and Culture and all stakeholders</w:t>
      </w:r>
      <w:r w:rsidR="004B126E" w:rsidRPr="00350989">
        <w:t>, regarding the submission of a final proposal, which will introduce a new Evaluation System for Teachers and School Work.</w:t>
      </w:r>
    </w:p>
    <w:p w14:paraId="51B41661" w14:textId="72023C29" w:rsidR="00700A7F" w:rsidRPr="00350989" w:rsidRDefault="00442878" w:rsidP="00851E58">
      <w:pPr>
        <w:spacing w:after="0"/>
        <w:ind w:left="567" w:hanging="567"/>
      </w:pPr>
      <w:r w:rsidRPr="00350989">
        <w:t xml:space="preserve">(d) </w:t>
      </w:r>
      <w:r w:rsidR="00851E58" w:rsidRPr="00350989">
        <w:tab/>
      </w:r>
      <w:r w:rsidR="004B126E" w:rsidRPr="00350989">
        <w:rPr>
          <w:i/>
        </w:rPr>
        <w:t>A New Professional Learning System for teachers and teaching processes,</w:t>
      </w:r>
      <w:r w:rsidR="004B126E" w:rsidRPr="00350989">
        <w:t xml:space="preserve"> in elementary and secondary education was approved by the Council of Ministers on 19 August 2015. The new Professional Learning System has been piloted in a number of schools, since September 2015 and will be reviewed at the end of the school year. The system will allow the professional development of the teachers based on their individual needs and their school’s needs.</w:t>
      </w:r>
      <w:r w:rsidR="00700A7F" w:rsidRPr="00350989">
        <w:t xml:space="preserve"> Nevertheless, the proposed training should include concerns about enhancing teachers’ knowledge and expertise in meeting the needs of students designated as having special educational needs and/or disabilities. This a significant issue that needs to be urgently addressed especially in light of the fact that </w:t>
      </w:r>
      <w:r w:rsidR="00700A7F" w:rsidRPr="00350989">
        <w:rPr>
          <w:color w:val="000000"/>
        </w:rPr>
        <w:t>teachers who provide learning support to students with SEN/D are not required to have any qualifications in Special Education (</w:t>
      </w:r>
      <w:proofErr w:type="spellStart"/>
      <w:r w:rsidR="00700A7F" w:rsidRPr="00350989">
        <w:rPr>
          <w:color w:val="000000"/>
        </w:rPr>
        <w:t>MoEC</w:t>
      </w:r>
      <w:proofErr w:type="spellEnd"/>
      <w:r w:rsidR="00700A7F" w:rsidRPr="00350989">
        <w:t xml:space="preserve"> 2013</w:t>
      </w:r>
      <w:r w:rsidR="00700A7F" w:rsidRPr="00350989">
        <w:rPr>
          <w:color w:val="000000"/>
        </w:rPr>
        <w:t>, Circular 7.1.10.2/4).</w:t>
      </w:r>
      <w:r w:rsidR="00775294" w:rsidRPr="00350989">
        <w:rPr>
          <w:lang w:eastAsia="en-GB"/>
        </w:rPr>
        <w:t xml:space="preserve"> </w:t>
      </w:r>
      <w:r w:rsidR="00700A7F" w:rsidRPr="00350989">
        <w:rPr>
          <w:lang w:eastAsia="en-GB"/>
        </w:rPr>
        <w:t>Even though t</w:t>
      </w:r>
      <w:r w:rsidR="00700A7F" w:rsidRPr="00350989">
        <w:rPr>
          <w:rFonts w:eastAsia="Times New Roman"/>
          <w:lang w:eastAsia="en-GB"/>
        </w:rPr>
        <w:t>he needs of this group of students do not essentially differ from other students</w:t>
      </w:r>
      <w:r w:rsidR="00700A7F" w:rsidRPr="00350989">
        <w:rPr>
          <w:lang w:eastAsia="en-GB"/>
        </w:rPr>
        <w:t xml:space="preserve">, </w:t>
      </w:r>
      <w:r w:rsidR="00700A7F" w:rsidRPr="00350989">
        <w:rPr>
          <w:rFonts w:eastAsia="Times New Roman"/>
          <w:lang w:eastAsia="en-GB"/>
        </w:rPr>
        <w:t xml:space="preserve">these students may need more intensive, direct or sometimes more specialist pedagogical practices </w:t>
      </w:r>
      <w:r w:rsidR="00700A7F" w:rsidRPr="00350989">
        <w:rPr>
          <w:lang w:eastAsia="en-GB"/>
        </w:rPr>
        <w:t>(</w:t>
      </w:r>
      <w:r w:rsidR="00700A7F" w:rsidRPr="00350989">
        <w:t>Norwich and Lewis 2007.)</w:t>
      </w:r>
      <w:r w:rsidR="00851E58" w:rsidRPr="00350989">
        <w:t>,</w:t>
      </w:r>
      <w:r w:rsidR="00700A7F" w:rsidRPr="00350989">
        <w:rPr>
          <w:rStyle w:val="FootnoteReference"/>
        </w:rPr>
        <w:footnoteReference w:id="41"/>
      </w:r>
      <w:r w:rsidR="00851E58" w:rsidRPr="00350989">
        <w:t xml:space="preserve"> which require expert knowledge</w:t>
      </w:r>
      <w:r w:rsidR="00700A7F" w:rsidRPr="00350989">
        <w:t xml:space="preserve"> and skills to provide differentiated instruction and evidence-based pedagogical practices (</w:t>
      </w:r>
      <w:proofErr w:type="spellStart"/>
      <w:r w:rsidR="00700A7F" w:rsidRPr="00350989">
        <w:t>e.g</w:t>
      </w:r>
      <w:proofErr w:type="spellEnd"/>
      <w:r w:rsidR="00700A7F" w:rsidRPr="00350989">
        <w:t xml:space="preserve"> Mitchell 2009).</w:t>
      </w:r>
      <w:r w:rsidR="00700A7F" w:rsidRPr="00350989">
        <w:rPr>
          <w:rStyle w:val="FootnoteReference"/>
        </w:rPr>
        <w:footnoteReference w:id="42"/>
      </w:r>
    </w:p>
    <w:p w14:paraId="04CB56AB" w14:textId="242F4005" w:rsidR="001E6199" w:rsidRPr="00350989" w:rsidRDefault="00442878" w:rsidP="00851E58">
      <w:pPr>
        <w:spacing w:after="0"/>
        <w:ind w:left="567" w:hanging="567"/>
      </w:pPr>
      <w:r w:rsidRPr="00350989">
        <w:t xml:space="preserve">(d) </w:t>
      </w:r>
      <w:r w:rsidR="00851E58" w:rsidRPr="00350989">
        <w:tab/>
      </w:r>
      <w:r w:rsidRPr="00350989">
        <w:rPr>
          <w:i/>
        </w:rPr>
        <w:t>The</w:t>
      </w:r>
      <w:r w:rsidR="001E6199" w:rsidRPr="00350989">
        <w:rPr>
          <w:i/>
        </w:rPr>
        <w:t xml:space="preserve"> continuation of the </w:t>
      </w:r>
      <w:r w:rsidRPr="00350989">
        <w:rPr>
          <w:i/>
        </w:rPr>
        <w:t>implementation of the “Zones of Educational Priority”</w:t>
      </w:r>
      <w:r w:rsidRPr="00350989">
        <w:t xml:space="preserve"> (ZEP), a project which tackled issues of low performance, delinquency and </w:t>
      </w:r>
      <w:r w:rsidRPr="00350989">
        <w:lastRenderedPageBreak/>
        <w:t>early school leaving, in primary and secondary education, through assertive actions</w:t>
      </w:r>
      <w:r w:rsidR="001E6199" w:rsidRPr="00350989">
        <w:t xml:space="preserve">, under the </w:t>
      </w:r>
      <w:r w:rsidRPr="00350989">
        <w:t xml:space="preserve">project “Actions for social and school inclusion” </w:t>
      </w:r>
      <w:r w:rsidR="001E6199" w:rsidRPr="00350989">
        <w:t>financed through ESF funding.</w:t>
      </w:r>
    </w:p>
    <w:p w14:paraId="07C896EC" w14:textId="77777777" w:rsidR="001E6199" w:rsidRPr="00350989" w:rsidRDefault="001E6199" w:rsidP="000D7F61">
      <w:pPr>
        <w:spacing w:after="0"/>
      </w:pPr>
    </w:p>
    <w:p w14:paraId="35528313" w14:textId="3412662C" w:rsidR="00442878" w:rsidRPr="00350989" w:rsidRDefault="001E6199" w:rsidP="000D7F61">
      <w:pPr>
        <w:spacing w:after="0"/>
      </w:pPr>
      <w:r w:rsidRPr="00350989">
        <w:t>In addition to the above t</w:t>
      </w:r>
      <w:r w:rsidR="00442878" w:rsidRPr="00350989">
        <w:t>he restructuring of Upper Secondary and Secondary Technical and Vocational Education (STVE) and the Post</w:t>
      </w:r>
      <w:r w:rsidRPr="00350989">
        <w:t>-</w:t>
      </w:r>
      <w:r w:rsidR="00442878" w:rsidRPr="00350989">
        <w:t>Secondary Institutes of Vocational Education and Training (PSITVE)</w:t>
      </w:r>
      <w:r w:rsidRPr="00350989">
        <w:t xml:space="preserve">, </w:t>
      </w:r>
      <w:r w:rsidR="00442878" w:rsidRPr="00350989">
        <w:t>continue to be implemented though ESF funding.</w:t>
      </w:r>
      <w:r w:rsidRPr="00350989">
        <w:t xml:space="preserve"> Based on unpublished data from educators’ experiences the latter proved to be an effective option for learners with disabilities that seek to continue their studies after high school and acquire further skills for employment, </w:t>
      </w:r>
      <w:r w:rsidR="004C72D8" w:rsidRPr="00350989">
        <w:t xml:space="preserve">often </w:t>
      </w:r>
      <w:r w:rsidRPr="00350989">
        <w:t>preferring</w:t>
      </w:r>
      <w:r w:rsidR="004C72D8" w:rsidRPr="00350989">
        <w:t xml:space="preserve"> programmes leading to</w:t>
      </w:r>
      <w:r w:rsidRPr="00350989">
        <w:t xml:space="preserve"> hospita</w:t>
      </w:r>
      <w:r w:rsidR="004C72D8" w:rsidRPr="00350989">
        <w:t xml:space="preserve">lity </w:t>
      </w:r>
      <w:r w:rsidRPr="00350989">
        <w:t xml:space="preserve">and cooking </w:t>
      </w:r>
      <w:r w:rsidR="00775294" w:rsidRPr="00350989">
        <w:t>industry.</w:t>
      </w:r>
    </w:p>
    <w:p w14:paraId="461CD9FC" w14:textId="3B7F9C7C" w:rsidR="00C72818" w:rsidRPr="00350989" w:rsidRDefault="00C72818" w:rsidP="000D7F61">
      <w:pPr>
        <w:spacing w:after="0"/>
      </w:pPr>
    </w:p>
    <w:p w14:paraId="5BE376CE" w14:textId="0A9BD4BB" w:rsidR="0057378E" w:rsidRPr="00350989" w:rsidRDefault="0057378E" w:rsidP="000D7F61">
      <w:pPr>
        <w:spacing w:after="0"/>
      </w:pPr>
      <w:r w:rsidRPr="00350989">
        <w:t>Reducing the numbers of early school leavers and enhancing accessibility to Higher Education on the grounds of disability necessitates creating quality early years, primary and secondary school settings for learner diversity.</w:t>
      </w:r>
      <w:r w:rsidR="0093373C" w:rsidRPr="00350989">
        <w:t xml:space="preserve"> </w:t>
      </w:r>
      <w:r w:rsidR="00615AC4" w:rsidRPr="00350989">
        <w:t xml:space="preserve">The educational system in Cyprus is highly centralised and education is compulsory from early years (3 years old) and children attend either public or private nursery schools. Primary education is a </w:t>
      </w:r>
      <w:r w:rsidR="00350989" w:rsidRPr="00350989">
        <w:t>6-year</w:t>
      </w:r>
      <w:r w:rsidR="00615AC4" w:rsidRPr="00350989">
        <w:t xml:space="preserve"> school programme starting at the age of 5:8. Repetitions and extensions are given for a maximum of 2 years, including both pre-school and primary</w:t>
      </w:r>
      <w:r w:rsidR="00313E41" w:rsidRPr="00350989">
        <w:t>.</w:t>
      </w:r>
      <w:r w:rsidR="00615AC4" w:rsidRPr="00350989">
        <w:rPr>
          <w:rStyle w:val="FootnoteReference"/>
        </w:rPr>
        <w:footnoteReference w:id="43"/>
      </w:r>
      <w:r w:rsidR="00615AC4" w:rsidRPr="00350989">
        <w:t xml:space="preserve"> Secondary education is provided in two cycles: the gymnasium, (ages 12–15) which is compulsory lower secondary education, and the lyceum or technical school (ages 15–18), which is not compulsory. Nevertheless, almost 100</w:t>
      </w:r>
      <w:r w:rsidR="009A0575" w:rsidRPr="00350989">
        <w:t xml:space="preserve"> %</w:t>
      </w:r>
      <w:r w:rsidR="00615AC4" w:rsidRPr="00350989">
        <w:t xml:space="preserve"> of the pupils in Cyprus continue their education in the lyceum or technical school, and the majority continue in further and higher education, in Cyprus and abroad. Identification and intervention for students with disabilities is taking place under the provisions of 1999 Education Act for the Education of Children with Special Needs</w:t>
      </w:r>
      <w:r w:rsidR="00B64A72" w:rsidRPr="00350989">
        <w:t>.</w:t>
      </w:r>
      <w:r w:rsidR="00CE2465" w:rsidRPr="00350989">
        <w:rPr>
          <w:rStyle w:val="FootnoteReference"/>
        </w:rPr>
        <w:footnoteReference w:id="44"/>
      </w:r>
      <w:r w:rsidR="00615AC4" w:rsidRPr="00350989">
        <w:t xml:space="preserve"> Th</w:t>
      </w:r>
      <w:r w:rsidR="00CE2465" w:rsidRPr="00350989">
        <w:t xml:space="preserve">is </w:t>
      </w:r>
      <w:r w:rsidR="00615AC4" w:rsidRPr="00350989">
        <w:t>legislation, which was formally implemented in 2001, has established formal procedures of identiﬁcation, assessment and provision of special education and support: every child has the right to attend his/her neighbourhood school and be supported within the mainstream school. Children with special needs</w:t>
      </w:r>
      <w:r w:rsidR="00CE2465" w:rsidRPr="00350989">
        <w:t xml:space="preserve"> over the age of 3 years</w:t>
      </w:r>
      <w:r w:rsidR="00615AC4" w:rsidRPr="00350989">
        <w:t xml:space="preserve"> are referred to the Committee of Special Education, which appoints a multidisciplinary team to carry out an assessment. Based on the reports, the Committee prepares</w:t>
      </w:r>
      <w:r w:rsidR="00CE2465" w:rsidRPr="00350989">
        <w:t xml:space="preserve"> </w:t>
      </w:r>
      <w:r w:rsidR="00615AC4" w:rsidRPr="00350989">
        <w:t>a statement and the child is assigned appropriate support. Schools and the Ministry of Education are required to provide the child with all the resources and support necessary for a more inclusive education</w:t>
      </w:r>
      <w:r w:rsidR="00CE2465" w:rsidRPr="00350989">
        <w:t>. The relevant regulations 185/2001 specifically refer to the Mechanism of Early Identification of Children with Disabilities</w:t>
      </w:r>
      <w:r w:rsidR="00B64A72" w:rsidRPr="00350989">
        <w:t>,</w:t>
      </w:r>
      <w:r w:rsidR="00CE2465" w:rsidRPr="00350989">
        <w:rPr>
          <w:rStyle w:val="FootnoteReference"/>
        </w:rPr>
        <w:footnoteReference w:id="45"/>
      </w:r>
      <w:r w:rsidR="00CE2465" w:rsidRPr="00350989">
        <w:t xml:space="preserve"> which clearly states that any individual is obliged to immediately refer to the Committee any case of child that is possible to have a disability (special needs) (art. 4). </w:t>
      </w:r>
      <w:r w:rsidR="00615AC4" w:rsidRPr="00350989">
        <w:t xml:space="preserve">With respect to </w:t>
      </w:r>
      <w:r w:rsidR="00CE2465" w:rsidRPr="00350989">
        <w:t xml:space="preserve">early </w:t>
      </w:r>
      <w:r w:rsidR="00615AC4" w:rsidRPr="00350989">
        <w:t>identification and intervention,</w:t>
      </w:r>
      <w:r w:rsidR="00A45898" w:rsidRPr="00350989">
        <w:t xml:space="preserve"> especially in relation to behavioural difficulties and</w:t>
      </w:r>
      <w:r w:rsidR="00CE2465" w:rsidRPr="00350989">
        <w:t xml:space="preserve"> </w:t>
      </w:r>
      <w:r w:rsidR="00A45898" w:rsidRPr="00350989">
        <w:t xml:space="preserve">school delinquency, the Ministry of Education has established an Immediate </w:t>
      </w:r>
      <w:r w:rsidR="00A45898" w:rsidRPr="00350989">
        <w:lastRenderedPageBreak/>
        <w:t>Intervention Group</w:t>
      </w:r>
      <w:r w:rsidR="00A45898" w:rsidRPr="00350989">
        <w:rPr>
          <w:rStyle w:val="FootnoteReference"/>
        </w:rPr>
        <w:footnoteReference w:id="46"/>
      </w:r>
      <w:r w:rsidR="00A45898" w:rsidRPr="00350989">
        <w:t xml:space="preserve"> composed by four (4) educators and two (2) who support schools by developing action plans of immediate intervention in collaboration with the school staff. In addition, </w:t>
      </w:r>
      <w:r w:rsidR="001D3B7F" w:rsidRPr="00350989">
        <w:t>Services of Early Intervention for children with intellectual and developmental disabilities are offered by several state departments of the Ministries of Health, Education and Labour. However, all services of early/immediate intervention seem to lack coordination and universal evaluation processes (see recommendations section)</w:t>
      </w:r>
      <w:r w:rsidR="00B64A72" w:rsidRPr="00350989">
        <w:t>.</w:t>
      </w:r>
      <w:r w:rsidR="001D3B7F" w:rsidRPr="00350989">
        <w:rPr>
          <w:rStyle w:val="FootnoteReference"/>
        </w:rPr>
        <w:footnoteReference w:id="47"/>
      </w:r>
    </w:p>
    <w:p w14:paraId="4051AA02" w14:textId="77777777" w:rsidR="00B64A72" w:rsidRPr="00350989" w:rsidRDefault="00B64A72" w:rsidP="000D7F61">
      <w:pPr>
        <w:spacing w:after="0"/>
      </w:pPr>
    </w:p>
    <w:p w14:paraId="17F3DB28" w14:textId="42065DC4" w:rsidR="0057378E" w:rsidRPr="00350989" w:rsidRDefault="0057378E" w:rsidP="000D7F61">
      <w:pPr>
        <w:spacing w:after="0"/>
        <w:rPr>
          <w:rFonts w:eastAsia="BookAntiqua"/>
        </w:rPr>
      </w:pPr>
      <w:r w:rsidRPr="00350989">
        <w:t>The recent report of the World Bank on Teacher Policies in the Republic of Cyprus (2014)</w:t>
      </w:r>
      <w:r w:rsidRPr="00350989">
        <w:rPr>
          <w:rStyle w:val="FootnoteReference"/>
        </w:rPr>
        <w:footnoteReference w:id="48"/>
      </w:r>
      <w:r w:rsidRPr="00350989">
        <w:t xml:space="preserve"> points out that accountability regimes and evaluation of teachers in Cyprus do not take into account any measures of teachers’ effects on student outcomes (including learning). Even though the Report does not make any reference to students designated as having special educational needs and/or disabilities (SEN/D), these issues need to be addressed in subsequent education policy reform agendas, including measures of teachers’ effects on</w:t>
      </w:r>
      <w:r w:rsidR="00F530AD" w:rsidRPr="00350989">
        <w:t xml:space="preserve"> the outcomes of</w:t>
      </w:r>
      <w:r w:rsidRPr="00350989">
        <w:t xml:space="preserve"> vulnerable groups of students. At the same time,</w:t>
      </w:r>
      <w:r w:rsidRPr="00350989">
        <w:rPr>
          <w:color w:val="000000"/>
        </w:rPr>
        <w:t xml:space="preserve"> the Report suggests that there are ‘no national-level data on student performance’ something that raise</w:t>
      </w:r>
      <w:r w:rsidR="00851E58" w:rsidRPr="00350989">
        <w:rPr>
          <w:color w:val="000000"/>
        </w:rPr>
        <w:t xml:space="preserve">s significant issues about the </w:t>
      </w:r>
      <w:r w:rsidRPr="00350989">
        <w:rPr>
          <w:color w:val="000000"/>
        </w:rPr>
        <w:t xml:space="preserve">extent to which schools and teachers are held accountable for students’ learning, especially with reference to students with SEN/D. While acknowledging that </w:t>
      </w:r>
      <w:r w:rsidRPr="00350989">
        <w:rPr>
          <w:rFonts w:eastAsia="BookAntiqua"/>
        </w:rPr>
        <w:t>it is necessary to strike ‘a balance between accountability measures which measure performance in traditional attainment-focused tests and other relevant assessments which are meaningful to the given students and/or SEN/D subgroup’, (Smith &amp; Douglas 2014, 443),</w:t>
      </w:r>
      <w:r w:rsidRPr="00350989">
        <w:rPr>
          <w:rStyle w:val="FootnoteReference"/>
          <w:rFonts w:eastAsia="BookAntiqua"/>
        </w:rPr>
        <w:footnoteReference w:id="49"/>
      </w:r>
      <w:r w:rsidRPr="00350989">
        <w:rPr>
          <w:rFonts w:eastAsia="BookAntiqua"/>
        </w:rPr>
        <w:t xml:space="preserve"> it is imperative to </w:t>
      </w:r>
      <w:r w:rsidRPr="00350989">
        <w:t xml:space="preserve">introduce new accountability regimes as well as </w:t>
      </w:r>
      <w:r w:rsidR="00B543EF" w:rsidRPr="00350989">
        <w:t xml:space="preserve">indicators on </w:t>
      </w:r>
      <w:r w:rsidRPr="00350989">
        <w:t>effectiveness so as to create incentives and make schools and teachers accountable</w:t>
      </w:r>
      <w:r w:rsidR="00B543EF" w:rsidRPr="00350989">
        <w:t xml:space="preserve">. </w:t>
      </w:r>
      <w:r w:rsidR="007E5548" w:rsidRPr="00350989">
        <w:t>As international literature suggests, t</w:t>
      </w:r>
      <w:r w:rsidR="00B543EF" w:rsidRPr="00350989">
        <w:t xml:space="preserve">here is also a need </w:t>
      </w:r>
      <w:r w:rsidRPr="00350989">
        <w:t>to focus resources on groups of students, who are entangled in a complex web of social and educational disadvantage, including students with SEN/D (</w:t>
      </w:r>
      <w:proofErr w:type="spellStart"/>
      <w:r w:rsidRPr="00350989">
        <w:t>Artiles</w:t>
      </w:r>
      <w:proofErr w:type="spellEnd"/>
      <w:r w:rsidRPr="00350989">
        <w:t xml:space="preserve"> et al 2006,</w:t>
      </w:r>
      <w:r w:rsidRPr="00350989">
        <w:rPr>
          <w:rStyle w:val="FootnoteReference"/>
        </w:rPr>
        <w:footnoteReference w:id="50"/>
      </w:r>
      <w:r w:rsidRPr="00350989">
        <w:t xml:space="preserve"> </w:t>
      </w:r>
      <w:proofErr w:type="spellStart"/>
      <w:r w:rsidRPr="00350989">
        <w:t>Bringhouse</w:t>
      </w:r>
      <w:proofErr w:type="spellEnd"/>
      <w:r w:rsidRPr="00350989">
        <w:t xml:space="preserve"> 2009)</w:t>
      </w:r>
      <w:r w:rsidRPr="00350989">
        <w:rPr>
          <w:rStyle w:val="FootnoteReference"/>
        </w:rPr>
        <w:footnoteReference w:id="51"/>
      </w:r>
      <w:r w:rsidRPr="00350989">
        <w:t xml:space="preserve"> </w:t>
      </w:r>
      <w:r w:rsidRPr="00350989">
        <w:rPr>
          <w:rFonts w:eastAsia="BookAntiqua"/>
        </w:rPr>
        <w:t>This is a serious issue that needs to be carefully considered in light of legal mandates to promote the realizat</w:t>
      </w:r>
      <w:r w:rsidR="00775294" w:rsidRPr="00350989">
        <w:rPr>
          <w:rFonts w:eastAsia="BookAntiqua"/>
        </w:rPr>
        <w:t>ion of an inclusive discourse.</w:t>
      </w:r>
    </w:p>
    <w:p w14:paraId="012B4B80" w14:textId="77777777" w:rsidR="00B64A72" w:rsidRPr="00350989" w:rsidRDefault="00B64A72" w:rsidP="000D7F61">
      <w:pPr>
        <w:spacing w:after="0"/>
        <w:rPr>
          <w:rFonts w:eastAsia="BookAntiqua"/>
        </w:rPr>
      </w:pPr>
    </w:p>
    <w:p w14:paraId="74FC294A" w14:textId="01EC5164" w:rsidR="0057378E" w:rsidRPr="00350989" w:rsidRDefault="0057378E" w:rsidP="000D7F61">
      <w:pPr>
        <w:spacing w:after="0"/>
      </w:pPr>
      <w:r w:rsidRPr="00350989">
        <w:t>As a signatory state, Cyprus is obliged to give full consideration to Article 24 of the UN CRPD whose overarching aim is to foster “an inclusive education system at all levels” so that “(p)</w:t>
      </w:r>
      <w:proofErr w:type="spellStart"/>
      <w:r w:rsidRPr="00350989">
        <w:t>ersons</w:t>
      </w:r>
      <w:proofErr w:type="spellEnd"/>
      <w:r w:rsidRPr="00350989">
        <w:t xml:space="preserve"> with disabilities are not excluded from the general education system on the basis of disability” (Article 24/a). Amongst other specifications, it is mandated that teachers “provide the assistance and services guaranteed by those rights”. This professional imperative should be reflected in </w:t>
      </w:r>
      <w:r w:rsidRPr="00350989">
        <w:lastRenderedPageBreak/>
        <w:t>evaluation criteria and accountability measures pertaining to teach</w:t>
      </w:r>
      <w:r w:rsidR="00F530AD" w:rsidRPr="00350989">
        <w:t>ing</w:t>
      </w:r>
      <w:r w:rsidRPr="00350989">
        <w:t xml:space="preserve"> policies and professional praxis</w:t>
      </w:r>
      <w:r w:rsidR="00851E58" w:rsidRPr="00350989">
        <w:t>.</w:t>
      </w:r>
      <w:r w:rsidR="00344407" w:rsidRPr="00350989">
        <w:rPr>
          <w:rStyle w:val="FootnoteReference"/>
        </w:rPr>
        <w:footnoteReference w:id="52"/>
      </w:r>
      <w:r w:rsidR="00851E58" w:rsidRPr="00350989">
        <w:t xml:space="preserve"> </w:t>
      </w:r>
      <w:r w:rsidRPr="00350989">
        <w:t xml:space="preserve">More specifically, as far as teachers’ accountability and evaluation regimes are concerned, particular emphasis needs to be given to the meaningful participation and achievement of students designated as having SEN/D. </w:t>
      </w:r>
      <w:r w:rsidR="00F530AD" w:rsidRPr="00350989">
        <w:t>E</w:t>
      </w:r>
      <w:r w:rsidRPr="00350989">
        <w:t>valuation</w:t>
      </w:r>
      <w:r w:rsidR="00F530AD" w:rsidRPr="00350989">
        <w:t xml:space="preserve"> of teachers</w:t>
      </w:r>
      <w:r w:rsidRPr="00350989">
        <w:t xml:space="preserve"> should focus on the extent and the quality of the learning support provided to this group of students, along with its impact on students’ progress. At the same time, as part of teachers’ accountability and evaluati</w:t>
      </w:r>
      <w:r w:rsidR="00851E58" w:rsidRPr="00350989">
        <w:t xml:space="preserve">on procedures, teachers should </w:t>
      </w:r>
      <w:r w:rsidRPr="00350989">
        <w:t>use</w:t>
      </w:r>
      <w:r w:rsidRPr="00350989">
        <w:rPr>
          <w:bCs/>
        </w:rPr>
        <w:t xml:space="preserve"> evidence-based interventions as part of a graduated approach, which includes review of the progress made by students designated a</w:t>
      </w:r>
      <w:r w:rsidR="00447A42" w:rsidRPr="00350989">
        <w:rPr>
          <w:bCs/>
        </w:rPr>
        <w:t>s</w:t>
      </w:r>
      <w:r w:rsidRPr="00350989">
        <w:rPr>
          <w:bCs/>
        </w:rPr>
        <w:t xml:space="preserve"> having SEN/D with a view to providing adaptations to existing support as required.</w:t>
      </w:r>
      <w:r w:rsidRPr="00350989">
        <w:t xml:space="preserve"> The quality and effectiveness of the provision and its impact on this group of students should be regularly reviewed and monitored. Relevant data on students’ progress should be provided so as to meet quality effectiveness indicators in </w:t>
      </w:r>
      <w:r w:rsidR="00B64A72" w:rsidRPr="00350989">
        <w:t>terms of teaching and learning.</w:t>
      </w:r>
      <w:r w:rsidR="00344407" w:rsidRPr="00350989">
        <w:rPr>
          <w:rStyle w:val="FootnoteReference"/>
        </w:rPr>
        <w:footnoteReference w:id="53"/>
      </w:r>
      <w:r w:rsidR="00D2559D" w:rsidRPr="00350989">
        <w:t xml:space="preserve"> However, the recent study of </w:t>
      </w:r>
      <w:proofErr w:type="spellStart"/>
      <w:r w:rsidR="00D2559D" w:rsidRPr="00350989">
        <w:t>Symeonidou</w:t>
      </w:r>
      <w:proofErr w:type="spellEnd"/>
      <w:r w:rsidR="00D2559D" w:rsidRPr="00350989">
        <w:t xml:space="preserve"> (2015)</w:t>
      </w:r>
      <w:r w:rsidR="00D2559D" w:rsidRPr="00350989">
        <w:rPr>
          <w:rStyle w:val="FootnoteReference"/>
        </w:rPr>
        <w:footnoteReference w:id="54"/>
      </w:r>
      <w:r w:rsidR="00D2559D" w:rsidRPr="00350989">
        <w:t xml:space="preserve"> (see table 2, p. 125) suggest that Cyprus has failed to comply with or take measures to implement the provisions 24, and it is unlikely that the country’s educational system showed any progress on this. Education of learners with disabilities still largely takes place in </w:t>
      </w:r>
      <w:proofErr w:type="spellStart"/>
      <w:r w:rsidR="000A06CD" w:rsidRPr="00350989">
        <w:t>segregative</w:t>
      </w:r>
      <w:proofErr w:type="spellEnd"/>
      <w:r w:rsidR="00D2559D" w:rsidRPr="00350989">
        <w:t xml:space="preserve"> settings</w:t>
      </w:r>
      <w:r w:rsidR="000A06CD" w:rsidRPr="00350989">
        <w:t xml:space="preserve"> and/or </w:t>
      </w:r>
      <w:proofErr w:type="spellStart"/>
      <w:r w:rsidR="000A06CD" w:rsidRPr="00350989">
        <w:t>segregative</w:t>
      </w:r>
      <w:proofErr w:type="spellEnd"/>
      <w:r w:rsidR="000A06CD" w:rsidRPr="00350989">
        <w:t xml:space="preserve"> practices</w:t>
      </w:r>
      <w:r w:rsidR="00D2559D" w:rsidRPr="00350989">
        <w:t xml:space="preserve">, </w:t>
      </w:r>
      <w:r w:rsidR="000A06CD" w:rsidRPr="00350989">
        <w:t xml:space="preserve">and </w:t>
      </w:r>
      <w:r w:rsidR="00D2559D" w:rsidRPr="00350989">
        <w:t xml:space="preserve">curriculum, </w:t>
      </w:r>
      <w:r w:rsidR="000A06CD" w:rsidRPr="00350989">
        <w:t>thou</w:t>
      </w:r>
      <w:r w:rsidR="00D2559D" w:rsidRPr="00350989">
        <w:t xml:space="preserve">gh recently reformed, </w:t>
      </w:r>
      <w:r w:rsidR="000A06CD" w:rsidRPr="00350989">
        <w:t xml:space="preserve">fails to consider </w:t>
      </w:r>
      <w:r w:rsidR="00043C1C" w:rsidRPr="00350989">
        <w:t>learners with disabilities both in its rhetoric and content</w:t>
      </w:r>
      <w:r w:rsidR="000D4F94" w:rsidRPr="00350989">
        <w:t>.</w:t>
      </w:r>
      <w:r w:rsidR="000A06CD" w:rsidRPr="00350989">
        <w:rPr>
          <w:rStyle w:val="FootnoteReference"/>
        </w:rPr>
        <w:footnoteReference w:id="55"/>
      </w:r>
    </w:p>
    <w:p w14:paraId="08C8FA24" w14:textId="77777777" w:rsidR="00B64A72" w:rsidRPr="00350989" w:rsidRDefault="00B64A72" w:rsidP="000D7F61">
      <w:pPr>
        <w:spacing w:after="0"/>
      </w:pPr>
    </w:p>
    <w:p w14:paraId="2130F8A5" w14:textId="77777777" w:rsidR="0010423F" w:rsidRPr="00350989" w:rsidRDefault="0010423F" w:rsidP="00244378">
      <w:pPr>
        <w:pStyle w:val="Heading2"/>
      </w:pPr>
      <w:bookmarkStart w:id="37" w:name="_Toc440298962"/>
      <w:bookmarkStart w:id="38" w:name="_Toc483409969"/>
      <w:r w:rsidRPr="00350989">
        <w:t>Poverty and social inclusion</w:t>
      </w:r>
      <w:bookmarkEnd w:id="37"/>
      <w:bookmarkEnd w:id="38"/>
    </w:p>
    <w:p w14:paraId="6EBF82F1" w14:textId="77777777" w:rsidR="00B64A72" w:rsidRPr="00350989" w:rsidRDefault="00B64A72" w:rsidP="000D7F61">
      <w:pPr>
        <w:spacing w:after="0"/>
      </w:pPr>
    </w:p>
    <w:p w14:paraId="440F4FD0" w14:textId="77777777" w:rsidR="004A3965" w:rsidRPr="00350989" w:rsidRDefault="004A3965" w:rsidP="000D7F61">
      <w:pPr>
        <w:spacing w:after="0"/>
      </w:pPr>
      <w:r w:rsidRPr="00350989">
        <w:t>Responding to issues of social exclusion, the 5</w:t>
      </w:r>
      <w:r w:rsidRPr="00350989">
        <w:rPr>
          <w:vertAlign w:val="superscript"/>
        </w:rPr>
        <w:t>th</w:t>
      </w:r>
      <w:r w:rsidRPr="00350989">
        <w:t xml:space="preserve"> Thematic Area (Independent Living, Social Inclusion, Mobility and Social Protection, p. 13) the National Disability Action Plan (2013-2015)</w:t>
      </w:r>
      <w:r w:rsidRPr="00350989">
        <w:rPr>
          <w:rStyle w:val="FootnoteReference"/>
        </w:rPr>
        <w:footnoteReference w:id="56"/>
      </w:r>
      <w:r w:rsidRPr="00350989">
        <w:t xml:space="preserve"> suggests the following actions: </w:t>
      </w:r>
    </w:p>
    <w:p w14:paraId="1A75A692" w14:textId="77777777" w:rsidR="00B64A72" w:rsidRPr="00350989" w:rsidRDefault="00B64A72" w:rsidP="000D7F61">
      <w:pPr>
        <w:spacing w:after="0"/>
      </w:pPr>
    </w:p>
    <w:p w14:paraId="2E83F7DF" w14:textId="77777777" w:rsidR="004A3965" w:rsidRPr="00350989" w:rsidRDefault="004A3965" w:rsidP="000D7F61">
      <w:pPr>
        <w:pStyle w:val="ListParagraph"/>
        <w:numPr>
          <w:ilvl w:val="0"/>
          <w:numId w:val="4"/>
        </w:numPr>
        <w:spacing w:after="0"/>
        <w:ind w:left="567" w:hanging="567"/>
      </w:pPr>
      <w:r w:rsidRPr="00350989">
        <w:rPr>
          <w:b/>
        </w:rPr>
        <w:t>Action 21:</w:t>
      </w:r>
      <w:r w:rsidRPr="00350989">
        <w:t xml:space="preserve"> Formulation of institutional framework for deinstitutionalization and independent / supported living, timetable: 2015 - expected outcomes: creation and operation of structures and services for deinstitutionalization and independent / supported living, mainly for people with severe disabilities.</w:t>
      </w:r>
    </w:p>
    <w:p w14:paraId="17C8EEC5" w14:textId="77777777" w:rsidR="004A3965" w:rsidRPr="00350989" w:rsidRDefault="004A3965" w:rsidP="000D7F61">
      <w:pPr>
        <w:pStyle w:val="ListParagraph"/>
        <w:numPr>
          <w:ilvl w:val="0"/>
          <w:numId w:val="4"/>
        </w:numPr>
        <w:spacing w:after="0"/>
        <w:ind w:left="567" w:hanging="567"/>
      </w:pPr>
      <w:r w:rsidRPr="00350989">
        <w:rPr>
          <w:b/>
        </w:rPr>
        <w:t>Action 23:</w:t>
      </w:r>
      <w:r w:rsidRPr="00350989">
        <w:t xml:space="preserve"> Deinstitutionalisation of 8 persons from Chamber 14 of the </w:t>
      </w:r>
      <w:proofErr w:type="spellStart"/>
      <w:r w:rsidRPr="00350989">
        <w:t>Athalassa</w:t>
      </w:r>
      <w:proofErr w:type="spellEnd"/>
      <w:r w:rsidRPr="00350989">
        <w:t xml:space="preserve"> Mental Health Hospital, timetable 2014-2015 – expected outcomes: deinstitutionalisation of persons with intellectual disabilities and </w:t>
      </w:r>
      <w:proofErr w:type="spellStart"/>
      <w:r w:rsidRPr="00350989">
        <w:t>behavior</w:t>
      </w:r>
      <w:proofErr w:type="spellEnd"/>
      <w:r w:rsidRPr="00350989">
        <w:t xml:space="preserve"> disorders living for many years in a mental health hospital. Integration in protected homes for supported living and provision of treatment, care and support for gradual integration in the society.</w:t>
      </w:r>
    </w:p>
    <w:p w14:paraId="127CBD5B" w14:textId="77777777" w:rsidR="004A3965" w:rsidRPr="00350989" w:rsidRDefault="004A3965" w:rsidP="000D7F61">
      <w:pPr>
        <w:pStyle w:val="ListParagraph"/>
        <w:numPr>
          <w:ilvl w:val="0"/>
          <w:numId w:val="4"/>
        </w:numPr>
        <w:spacing w:after="0"/>
        <w:ind w:left="567" w:hanging="567"/>
      </w:pPr>
      <w:r w:rsidRPr="00350989">
        <w:rPr>
          <w:b/>
        </w:rPr>
        <w:lastRenderedPageBreak/>
        <w:t xml:space="preserve">Action 24: </w:t>
      </w:r>
      <w:r w:rsidRPr="00350989">
        <w:t>Enhancing participation in leisure, sports, cultural and other events and activities, timetable: 2014-2015.</w:t>
      </w:r>
    </w:p>
    <w:p w14:paraId="567911F7" w14:textId="77777777" w:rsidR="00B64A72" w:rsidRPr="00350989" w:rsidRDefault="00B64A72" w:rsidP="000D7F61">
      <w:pPr>
        <w:spacing w:after="0"/>
      </w:pPr>
    </w:p>
    <w:p w14:paraId="7DB31CA0" w14:textId="446C708A" w:rsidR="00806DF9" w:rsidRPr="00350989" w:rsidRDefault="00DF1A49" w:rsidP="000D7F61">
      <w:pPr>
        <w:spacing w:after="0"/>
      </w:pPr>
      <w:r w:rsidRPr="00350989">
        <w:t>On 10 July 2014 the House of Representatives in Cyprus passed the bill introduced by the Ministry of Labour, Welfare and Social Insurance entitled "The Guaranteed Minimum Income and Social Benefits Act of 2014” concerning the implementation of a new system of welfare. The law entered into force on July 11, 2014 and safeguards a minimum living status for every family under particular criteria, including individuals with disabilities (to ensure a minimum standard of living for every family that meets specific criteria). The minimum guaranteed income is €480 per month for an applicant/beneficiary subject to certain criteria.  It is worth noting that in the calculation for the allocation of the Guaranteed Minimum Income, (GMI) the first € 512 of earnings from employment are not taken into account as income if the applicant/beneficiary or the spouse is a disabled person. Moreover, the minimum guaranteed amount of € 480, is increased by € 240 for every member of the family aged 14 and over, including the spouse and by 144 for each member of the family aged under 14 unless the child has a disability in which case he/she is entitled to the whole amount of € 480. In addition, specifically to housing, according to the Ministry of Labour and Social Insuranc</w:t>
      </w:r>
      <w:r w:rsidR="00775294" w:rsidRPr="00350989">
        <w:t xml:space="preserve">e, </w:t>
      </w:r>
      <w:r w:rsidRPr="00350989">
        <w:t>in relation to the GMI the maximum rent allowance for people with disabilities is as follows: Nicosia/Limassol/Famagusta (€</w:t>
      </w:r>
      <w:r w:rsidR="008F156B">
        <w:t xml:space="preserve"> </w:t>
      </w:r>
      <w:r w:rsidRPr="00350989">
        <w:t>2.80/m2) additional €</w:t>
      </w:r>
      <w:r w:rsidR="008F156B">
        <w:t xml:space="preserve"> </w:t>
      </w:r>
      <w:r w:rsidRPr="00350989">
        <w:t xml:space="preserve">70. </w:t>
      </w:r>
      <w:proofErr w:type="spellStart"/>
      <w:r w:rsidRPr="00350989">
        <w:t>Larnaca</w:t>
      </w:r>
      <w:proofErr w:type="spellEnd"/>
      <w:r w:rsidRPr="00350989">
        <w:t xml:space="preserve"> (€</w:t>
      </w:r>
      <w:r w:rsidR="008F156B">
        <w:t xml:space="preserve"> </w:t>
      </w:r>
      <w:r w:rsidRPr="00350989">
        <w:t>2.45/m2) additional €</w:t>
      </w:r>
      <w:r w:rsidR="008F156B">
        <w:t xml:space="preserve"> </w:t>
      </w:r>
      <w:r w:rsidRPr="00350989">
        <w:t xml:space="preserve">61.25 and </w:t>
      </w:r>
      <w:proofErr w:type="spellStart"/>
      <w:r w:rsidRPr="00350989">
        <w:t>Paphos</w:t>
      </w:r>
      <w:proofErr w:type="spellEnd"/>
      <w:r w:rsidRPr="00350989">
        <w:t xml:space="preserve"> (€</w:t>
      </w:r>
      <w:r w:rsidR="008F156B">
        <w:t xml:space="preserve"> </w:t>
      </w:r>
      <w:r w:rsidRPr="00350989">
        <w:t>1.75/m2) additional €</w:t>
      </w:r>
      <w:r w:rsidR="008F156B">
        <w:t xml:space="preserve"> </w:t>
      </w:r>
      <w:r w:rsidRPr="00350989">
        <w:t xml:space="preserve">43.75. </w:t>
      </w:r>
      <w:r w:rsidR="000409BE" w:rsidRPr="00350989">
        <w:t>The Cyprus</w:t>
      </w:r>
      <w:r w:rsidR="008270CC" w:rsidRPr="00350989">
        <w:t xml:space="preserve"> NRP of 201</w:t>
      </w:r>
      <w:r w:rsidR="000409BE" w:rsidRPr="00350989">
        <w:t>6</w:t>
      </w:r>
      <w:r w:rsidR="008270CC" w:rsidRPr="00350989">
        <w:t xml:space="preserve"> points out that the</w:t>
      </w:r>
      <w:r w:rsidR="000409BE" w:rsidRPr="00350989">
        <w:t xml:space="preserve"> introduction of the</w:t>
      </w:r>
      <w:r w:rsidR="008270CC" w:rsidRPr="00350989">
        <w:t xml:space="preserve"> GMI</w:t>
      </w:r>
      <w:r w:rsidR="00806DF9" w:rsidRPr="00350989">
        <w:t xml:space="preserve"> is one of the major reforms as regards to the Social Long Term Care programme in the country. </w:t>
      </w:r>
      <w:r w:rsidR="008270CC" w:rsidRPr="00350989">
        <w:t xml:space="preserve"> </w:t>
      </w:r>
      <w:r w:rsidRPr="00350989">
        <w:t>As noted in the Commission Staff Working Document for Cyprus 2016</w:t>
      </w:r>
      <w:r w:rsidR="008F156B">
        <w:t>,</w:t>
      </w:r>
      <w:r w:rsidRPr="00350989">
        <w:rPr>
          <w:rStyle w:val="FootnoteReference"/>
        </w:rPr>
        <w:footnoteReference w:id="57"/>
      </w:r>
      <w:r w:rsidRPr="00350989">
        <w:t xml:space="preserve"> the GMI scheme has replaced the previous public assistance benefit with a top-up allowance required for eligible households to meet their basic needs. </w:t>
      </w:r>
      <w:r w:rsidR="00806DF9" w:rsidRPr="00350989">
        <w:t>The GMI aims to provide assistance to individuals and families that cannot, despite their efforts, gain enough income to support themselves, including people with disabilities</w:t>
      </w:r>
      <w:r w:rsidR="008270CC" w:rsidRPr="00350989">
        <w:t xml:space="preserve">. </w:t>
      </w:r>
      <w:r w:rsidRPr="00350989">
        <w:t xml:space="preserve">Under the new scheme, basic needs are defined on the basis of a predetermined minimum consumption basket, with additional allowances for housing costs and taxes, and care services. </w:t>
      </w:r>
      <w:r w:rsidR="00684AD3" w:rsidRPr="00350989">
        <w:t>In relation t</w:t>
      </w:r>
      <w:r w:rsidR="008217E9" w:rsidRPr="00350989">
        <w:t xml:space="preserve">o </w:t>
      </w:r>
      <w:r w:rsidR="00684AD3" w:rsidRPr="00350989">
        <w:t>disability,</w:t>
      </w:r>
      <w:r w:rsidR="008217E9" w:rsidRPr="00350989">
        <w:t xml:space="preserve"> some special disability benefits are excluded as an income for the estimations of the GMI</w:t>
      </w:r>
      <w:r w:rsidR="00806DF9" w:rsidRPr="00350989">
        <w:t xml:space="preserve">. </w:t>
      </w:r>
      <w:r w:rsidRPr="00350989">
        <w:t xml:space="preserve">These are: any disability allowance, the first €512 of any employment income in cases where the applicant or the husband/wife of the applicant is an individual with disabilities and disability pensions. </w:t>
      </w:r>
      <w:r w:rsidR="00806DF9" w:rsidRPr="00350989">
        <w:t>More details for the GMI are reported in the ANED Country report on Social Protection and Article 28.</w:t>
      </w:r>
    </w:p>
    <w:p w14:paraId="5B5E158B" w14:textId="77777777" w:rsidR="00DF1A49" w:rsidRPr="00350989" w:rsidRDefault="00DF1A49" w:rsidP="000D7F61">
      <w:pPr>
        <w:spacing w:after="0"/>
      </w:pPr>
    </w:p>
    <w:p w14:paraId="436D533B" w14:textId="6764FF14" w:rsidR="00CA6CFD" w:rsidRPr="00350989" w:rsidRDefault="008270CC" w:rsidP="000D7F61">
      <w:pPr>
        <w:autoSpaceDE w:val="0"/>
        <w:autoSpaceDN w:val="0"/>
        <w:adjustRightInd w:val="0"/>
        <w:spacing w:after="0"/>
        <w:rPr>
          <w:color w:val="000000"/>
        </w:rPr>
      </w:pPr>
      <w:r w:rsidRPr="00350989">
        <w:t xml:space="preserve">The inclusion of people with disabilities in the GMI program was criticised by Disability Organizations on the grounds that  the design of the GMI </w:t>
      </w:r>
      <w:r w:rsidRPr="00350989">
        <w:rPr>
          <w:color w:val="212121"/>
        </w:rPr>
        <w:t>adversely affected the rights and benefits of disabled people from deprived socio-economic backgrounds compared with the Public Assistance that people with disabilities were entitled to prior to the introduction of GMI (</w:t>
      </w:r>
      <w:proofErr w:type="spellStart"/>
      <w:r w:rsidRPr="00350989">
        <w:rPr>
          <w:color w:val="212121"/>
        </w:rPr>
        <w:t>Lambrianides</w:t>
      </w:r>
      <w:proofErr w:type="spellEnd"/>
      <w:r w:rsidRPr="00350989">
        <w:rPr>
          <w:color w:val="212121"/>
        </w:rPr>
        <w:t xml:space="preserve"> 2004)</w:t>
      </w:r>
      <w:r w:rsidR="00B64A72" w:rsidRPr="00350989">
        <w:rPr>
          <w:color w:val="212121"/>
        </w:rPr>
        <w:t>.</w:t>
      </w:r>
      <w:r w:rsidRPr="00350989">
        <w:rPr>
          <w:rStyle w:val="FootnoteReference"/>
          <w:color w:val="212121"/>
        </w:rPr>
        <w:footnoteReference w:id="58"/>
      </w:r>
      <w:r w:rsidRPr="00350989">
        <w:rPr>
          <w:color w:val="212121"/>
        </w:rPr>
        <w:t xml:space="preserve"> According to the stipulations of the GMI programme, a person who is entitled to receive GMI should </w:t>
      </w:r>
      <w:r w:rsidRPr="00350989">
        <w:rPr>
          <w:color w:val="212121"/>
        </w:rPr>
        <w:lastRenderedPageBreak/>
        <w:t xml:space="preserve">have savings that do not exceed </w:t>
      </w:r>
      <w:r w:rsidR="00204049" w:rsidRPr="00350989">
        <w:rPr>
          <w:color w:val="212121"/>
        </w:rPr>
        <w:t>€</w:t>
      </w:r>
      <w:r w:rsidR="00185E73">
        <w:rPr>
          <w:color w:val="212121"/>
        </w:rPr>
        <w:t> </w:t>
      </w:r>
      <w:r w:rsidRPr="00350989">
        <w:rPr>
          <w:color w:val="212121"/>
        </w:rPr>
        <w:t>5000</w:t>
      </w:r>
      <w:r w:rsidR="00B64A72" w:rsidRPr="00350989">
        <w:rPr>
          <w:color w:val="212121"/>
        </w:rPr>
        <w:t>.</w:t>
      </w:r>
      <w:r w:rsidRPr="00350989">
        <w:rPr>
          <w:rStyle w:val="FootnoteReference"/>
          <w:color w:val="212121"/>
        </w:rPr>
        <w:footnoteReference w:id="59"/>
      </w:r>
      <w:r w:rsidRPr="00350989">
        <w:rPr>
          <w:color w:val="212121"/>
        </w:rPr>
        <w:t xml:space="preserve"> Given the widespread criticism from Disability organizations and disability advocates (</w:t>
      </w:r>
      <w:proofErr w:type="spellStart"/>
      <w:r w:rsidRPr="00350989">
        <w:rPr>
          <w:color w:val="212121"/>
        </w:rPr>
        <w:t>e.g</w:t>
      </w:r>
      <w:proofErr w:type="spellEnd"/>
      <w:r w:rsidRPr="00350989">
        <w:rPr>
          <w:color w:val="212121"/>
        </w:rPr>
        <w:t xml:space="preserve"> parents of children with disabilities) the GMI Law was amended in order to exempt disabled people from the above-mentioned financial provision. As stated in article 13 of the amended Law (118(1)/2015), this provision is</w:t>
      </w:r>
      <w:r w:rsidRPr="00350989">
        <w:rPr>
          <w:color w:val="000000"/>
        </w:rPr>
        <w:t xml:space="preserve"> not taken into consideration if the financial resources concerned </w:t>
      </w:r>
      <w:r w:rsidRPr="00350989">
        <w:rPr>
          <w:color w:val="212121"/>
        </w:rPr>
        <w:t>are necessary ‘for treatment or rehabilitation purposes or for dealing with health or other reasons which are justified on the grounds that the person is disabled’.</w:t>
      </w:r>
      <w:r w:rsidR="00CA6CFD" w:rsidRPr="00350989">
        <w:rPr>
          <w:color w:val="212121"/>
        </w:rPr>
        <w:t xml:space="preserve"> </w:t>
      </w:r>
      <w:r w:rsidR="00CA6CFD" w:rsidRPr="00350989">
        <w:t xml:space="preserve">Currently, the national average poverty risk on the grounds of disability is higher than the EU average, hence it is necessary to address this discrepancy by formulating social policies to address issues of poverty and enhance social inclusion on the grounds of disability. Providing effective measures of support on the grounds of disability necessitates taking into consideration the idiomorphic nature of disability experience, along with the ways in which it is distinguished from, and intersects with, other sources of social disadvantage </w:t>
      </w:r>
      <w:r w:rsidR="00CA6CFD" w:rsidRPr="00350989">
        <w:rPr>
          <w:color w:val="000000"/>
        </w:rPr>
        <w:t>(</w:t>
      </w:r>
      <w:proofErr w:type="spellStart"/>
      <w:r w:rsidR="00CA6CFD" w:rsidRPr="00350989">
        <w:rPr>
          <w:color w:val="000000"/>
        </w:rPr>
        <w:t>e.g</w:t>
      </w:r>
      <w:proofErr w:type="spellEnd"/>
      <w:r w:rsidR="00CA6CFD" w:rsidRPr="00350989">
        <w:rPr>
          <w:color w:val="000000"/>
        </w:rPr>
        <w:t xml:space="preserve"> Liasidou 2013).</w:t>
      </w:r>
      <w:r w:rsidR="00CA6CFD" w:rsidRPr="00350989">
        <w:rPr>
          <w:rStyle w:val="FootnoteReference"/>
          <w:color w:val="000000"/>
        </w:rPr>
        <w:footnoteReference w:id="60"/>
      </w:r>
      <w:r w:rsidR="00CA6CFD" w:rsidRPr="00350989">
        <w:rPr>
          <w:color w:val="000000"/>
        </w:rPr>
        <w:t xml:space="preserve"> </w:t>
      </w:r>
    </w:p>
    <w:p w14:paraId="3FB1D7B6" w14:textId="5C399145" w:rsidR="00574BBC" w:rsidRPr="00350989" w:rsidRDefault="00574BBC" w:rsidP="000D7F61">
      <w:pPr>
        <w:pStyle w:val="HTMLPreformatted"/>
        <w:shd w:val="clear" w:color="auto" w:fill="FFFFFF"/>
        <w:spacing w:after="0"/>
        <w:rPr>
          <w:rFonts w:ascii="Arial" w:hAnsi="Arial" w:cs="Arial"/>
          <w:color w:val="212121"/>
          <w:sz w:val="24"/>
          <w:szCs w:val="24"/>
          <w:lang w:val="en-GB"/>
        </w:rPr>
      </w:pPr>
    </w:p>
    <w:p w14:paraId="24AD42D3" w14:textId="77777777" w:rsidR="0010423F" w:rsidRPr="00350989" w:rsidRDefault="001E4166" w:rsidP="00244378">
      <w:pPr>
        <w:pStyle w:val="Heading2"/>
      </w:pPr>
      <w:bookmarkStart w:id="39" w:name="_Toc440298963"/>
      <w:bookmarkStart w:id="40" w:name="_Toc483409970"/>
      <w:r w:rsidRPr="00350989">
        <w:t>S</w:t>
      </w:r>
      <w:r w:rsidR="0010423F" w:rsidRPr="00350989">
        <w:t xml:space="preserve">ynergies between </w:t>
      </w:r>
      <w:r w:rsidRPr="00350989">
        <w:t>developments in the different areas</w:t>
      </w:r>
      <w:bookmarkEnd w:id="39"/>
      <w:bookmarkEnd w:id="40"/>
    </w:p>
    <w:p w14:paraId="25E96D19" w14:textId="77777777" w:rsidR="00B64A72" w:rsidRPr="00350989" w:rsidRDefault="00B64A72" w:rsidP="000D7F61">
      <w:pPr>
        <w:autoSpaceDE w:val="0"/>
        <w:autoSpaceDN w:val="0"/>
        <w:adjustRightInd w:val="0"/>
        <w:spacing w:after="0"/>
        <w:rPr>
          <w:lang w:eastAsia="en-GB"/>
        </w:rPr>
      </w:pPr>
    </w:p>
    <w:p w14:paraId="070B26C3" w14:textId="77777777" w:rsidR="00D65B3D" w:rsidRPr="00350989" w:rsidRDefault="0057378E" w:rsidP="000D7F61">
      <w:pPr>
        <w:autoSpaceDE w:val="0"/>
        <w:autoSpaceDN w:val="0"/>
        <w:adjustRightInd w:val="0"/>
        <w:spacing w:after="0"/>
      </w:pPr>
      <w:r w:rsidRPr="00350989">
        <w:rPr>
          <w:lang w:eastAsia="en-GB"/>
        </w:rPr>
        <w:t>Developments in different areas should be carefully considered and reviewed so as to provide a systemic approach to</w:t>
      </w:r>
      <w:r w:rsidRPr="00350989">
        <w:t xml:space="preserve"> addressing the multifaceted and intersecting nature of social and educational inequalities experienced by disabled individuals. </w:t>
      </w:r>
    </w:p>
    <w:p w14:paraId="51DAAFAD" w14:textId="77777777" w:rsidR="00B64A72" w:rsidRPr="00350989" w:rsidRDefault="00B64A72" w:rsidP="000D7F61">
      <w:pPr>
        <w:autoSpaceDE w:val="0"/>
        <w:autoSpaceDN w:val="0"/>
        <w:adjustRightInd w:val="0"/>
        <w:spacing w:after="0"/>
      </w:pPr>
    </w:p>
    <w:p w14:paraId="4D925976" w14:textId="77777777" w:rsidR="00D65B3D" w:rsidRPr="00350989" w:rsidRDefault="00D65B3D" w:rsidP="000D7F61">
      <w:pPr>
        <w:spacing w:after="0"/>
      </w:pPr>
      <w:r w:rsidRPr="00350989">
        <w:t>Given the above considerations, the notion of</w:t>
      </w:r>
      <w:r w:rsidR="007329E9" w:rsidRPr="00350989">
        <w:t xml:space="preserve"> ‘intersectionality’ (Davies 2008</w:t>
      </w:r>
      <w:r w:rsidRPr="00350989">
        <w:t>)</w:t>
      </w:r>
      <w:r w:rsidR="00B64A72" w:rsidRPr="00350989">
        <w:t>,</w:t>
      </w:r>
      <w:r w:rsidR="007329E9" w:rsidRPr="00350989">
        <w:rPr>
          <w:rStyle w:val="FootnoteReference"/>
        </w:rPr>
        <w:footnoteReference w:id="61"/>
      </w:r>
      <w:r w:rsidRPr="00350989">
        <w:t xml:space="preserve"> which denotes the multiple, overlapping and reciprocally reinforcing forms of social disadvantage experienced by disabled individuals, </w:t>
      </w:r>
      <w:r w:rsidR="0088174F" w:rsidRPr="00350989">
        <w:t xml:space="preserve">needs to inform policy developments that are geared towards </w:t>
      </w:r>
      <w:r w:rsidRPr="00350989">
        <w:t>challenging simultaneous forms of discrimination experienced by disabled students (Liasidou, 2013)</w:t>
      </w:r>
      <w:r w:rsidR="00B64A72" w:rsidRPr="00350989">
        <w:t>.</w:t>
      </w:r>
      <w:r w:rsidR="005B6FF7" w:rsidRPr="00350989">
        <w:rPr>
          <w:rStyle w:val="FootnoteReference"/>
        </w:rPr>
        <w:footnoteReference w:id="62"/>
      </w:r>
      <w:r w:rsidRPr="00350989">
        <w:t xml:space="preserve"> For instance, a discussion on the accessibility of higher education to disabled individuals should take into consideration the adverse effect of introducing tuition fees in higher education institutions and on prospective disabled students who come from low socio-economic backgrounds. </w:t>
      </w:r>
      <w:r w:rsidR="0088174F" w:rsidRPr="00350989">
        <w:t xml:space="preserve"> Simultaneously, </w:t>
      </w:r>
      <w:r w:rsidRPr="00350989">
        <w:t>particular consideration should be given to issues such as disability and housing, and the formulation of social protection policies relevant to disabled people (Liasidou 2014</w:t>
      </w:r>
      <w:r w:rsidR="007329E9" w:rsidRPr="00350989">
        <w:t>a</w:t>
      </w:r>
      <w:r w:rsidRPr="00350989">
        <w:t>)</w:t>
      </w:r>
      <w:r w:rsidR="00B64A72" w:rsidRPr="00350989">
        <w:t>.</w:t>
      </w:r>
      <w:r w:rsidR="007329E9" w:rsidRPr="00350989">
        <w:rPr>
          <w:rStyle w:val="FootnoteReference"/>
        </w:rPr>
        <w:footnoteReference w:id="63"/>
      </w:r>
    </w:p>
    <w:p w14:paraId="027EE700" w14:textId="77777777" w:rsidR="00B64A72" w:rsidRPr="00350989" w:rsidRDefault="00B64A72" w:rsidP="000D7F61">
      <w:pPr>
        <w:spacing w:after="0"/>
      </w:pPr>
    </w:p>
    <w:p w14:paraId="5970AA63" w14:textId="2EDD68B3" w:rsidR="0088174F" w:rsidRPr="00350989" w:rsidRDefault="0057378E" w:rsidP="000D7F61">
      <w:pPr>
        <w:spacing w:after="0"/>
      </w:pPr>
      <w:r w:rsidRPr="00350989">
        <w:t>To this end, social and educational policy developments should be informed by an ‘intersectional problematic’ (</w:t>
      </w:r>
      <w:proofErr w:type="spellStart"/>
      <w:r w:rsidRPr="00350989">
        <w:t>Skjeie</w:t>
      </w:r>
      <w:proofErr w:type="spellEnd"/>
      <w:r w:rsidRPr="00350989">
        <w:t xml:space="preserve"> &amp; </w:t>
      </w:r>
      <w:proofErr w:type="spellStart"/>
      <w:r w:rsidRPr="00350989">
        <w:t>Langvasbråten</w:t>
      </w:r>
      <w:proofErr w:type="spellEnd"/>
      <w:r w:rsidRPr="00350989">
        <w:t xml:space="preserve"> 2009, 513),</w:t>
      </w:r>
      <w:r w:rsidRPr="00350989">
        <w:rPr>
          <w:rStyle w:val="FootnoteReference"/>
        </w:rPr>
        <w:footnoteReference w:id="64"/>
      </w:r>
      <w:r w:rsidRPr="00350989">
        <w:t xml:space="preserve"> so as to address </w:t>
      </w:r>
      <w:r w:rsidRPr="00350989">
        <w:lastRenderedPageBreak/>
        <w:t xml:space="preserve">the overlapping and cumulative ways in which the experience of disability intersects with other sources of social disadvantage.  </w:t>
      </w:r>
      <w:r w:rsidR="0088174F" w:rsidRPr="00350989">
        <w:t>Even though the application of intersectionality in the legal field has been sporadic (Davis 2013)</w:t>
      </w:r>
      <w:r w:rsidR="00B64A72" w:rsidRPr="00350989">
        <w:t>,</w:t>
      </w:r>
      <w:r w:rsidR="007329E9" w:rsidRPr="00350989">
        <w:rPr>
          <w:rStyle w:val="FootnoteReference"/>
        </w:rPr>
        <w:footnoteReference w:id="65"/>
      </w:r>
      <w:r w:rsidR="0088174F" w:rsidRPr="00350989">
        <w:t xml:space="preserve"> it should be noted that the UN Convention on the Rights of People with Disabilities embraces intersectionality by highlighting the ways in which women with disabilities (Article 6) and children with disabilities (Article 7) might experience multiple and overlapping forms of discrimination. At a national level, the Ontario Human Rights Commission has introduced an intersectional approach to discrimination (Davis 2013). According to Ontario Human Rights Commission Report (2001), the Supreme Court of Canada promotes an intersectional analysis of issues of discrimination and marginalisation of particular groups of students, in particular students designated as having SEBD (cited in Cassidy and Jackson 2005</w:t>
      </w:r>
      <w:r w:rsidR="00B64A72" w:rsidRPr="00350989">
        <w:t>).</w:t>
      </w:r>
      <w:r w:rsidR="007329E9" w:rsidRPr="00350989">
        <w:rPr>
          <w:rStyle w:val="FootnoteReference"/>
        </w:rPr>
        <w:footnoteReference w:id="66"/>
      </w:r>
      <w:r w:rsidR="0088174F" w:rsidRPr="00350989">
        <w:t xml:space="preserve"> Similarly, a number of court cases in the United States have addressed ‘questions about whether certain groups of children (behaviourally disordered ... learning disabled) are being appropriately identified’ (Rothstein and Johnson 2010, 90)</w:t>
      </w:r>
      <w:r w:rsidR="00E4027E" w:rsidRPr="00350989">
        <w:t>.</w:t>
      </w:r>
      <w:r w:rsidR="007329E9" w:rsidRPr="00350989">
        <w:rPr>
          <w:rStyle w:val="FootnoteReference"/>
        </w:rPr>
        <w:footnoteReference w:id="67"/>
      </w:r>
    </w:p>
    <w:p w14:paraId="7F067337" w14:textId="77777777" w:rsidR="00244378" w:rsidRPr="00350989" w:rsidRDefault="00244378" w:rsidP="000D7F61">
      <w:pPr>
        <w:spacing w:after="0"/>
      </w:pPr>
    </w:p>
    <w:p w14:paraId="5102E848" w14:textId="7F80B3CA" w:rsidR="00AA2340" w:rsidRPr="00350989" w:rsidRDefault="0057378E" w:rsidP="000D7F61">
      <w:pPr>
        <w:spacing w:after="0"/>
      </w:pPr>
      <w:r w:rsidRPr="00350989">
        <w:t>In spite of the fact that the UNCRPD alludes to the importance of adopting an intersectional approach, the First Report of Cyprus on the Implementation of the Rights of People with Disabilities (Department of Social Inclusion for People with Disabilities, 2013)</w:t>
      </w:r>
      <w:r w:rsidRPr="00350989">
        <w:rPr>
          <w:rStyle w:val="FootnoteReference"/>
          <w:color w:val="000000"/>
        </w:rPr>
        <w:footnoteReference w:id="68"/>
      </w:r>
      <w:r w:rsidRPr="00350989">
        <w:t xml:space="preserve"> fails to capture the theoretical, legislative, and policy implications of an intersectional perspective </w:t>
      </w:r>
      <w:r w:rsidR="00337329" w:rsidRPr="00350989">
        <w:t>(</w:t>
      </w:r>
      <w:r w:rsidRPr="00350989">
        <w:t>see Liasidou 2014</w:t>
      </w:r>
      <w:r w:rsidR="007E46A8" w:rsidRPr="00350989">
        <w:t>b</w:t>
      </w:r>
      <w:r w:rsidRPr="00350989">
        <w:t>).</w:t>
      </w:r>
      <w:r w:rsidRPr="00350989">
        <w:rPr>
          <w:rStyle w:val="FootnoteReference"/>
          <w:color w:val="000000"/>
        </w:rPr>
        <w:footnoteReference w:id="69"/>
      </w:r>
    </w:p>
    <w:p w14:paraId="077E4000" w14:textId="77777777" w:rsidR="00244378" w:rsidRPr="00350989" w:rsidRDefault="00244378" w:rsidP="000D7F61">
      <w:pPr>
        <w:spacing w:after="0"/>
      </w:pPr>
    </w:p>
    <w:p w14:paraId="7795EC84" w14:textId="45757AB6" w:rsidR="00AA2340" w:rsidRPr="00350989" w:rsidRDefault="004C2B03" w:rsidP="001A4BE6">
      <w:pPr>
        <w:pStyle w:val="Heading1"/>
      </w:pPr>
      <w:bookmarkStart w:id="41" w:name="_Toc440298964"/>
      <w:bookmarkStart w:id="42" w:name="_Toc483409971"/>
      <w:r w:rsidRPr="00350989">
        <w:lastRenderedPageBreak/>
        <w:t xml:space="preserve">Follow up </w:t>
      </w:r>
      <w:r w:rsidR="00AA2340" w:rsidRPr="00350989">
        <w:t>of the European Semester from a disability perspective</w:t>
      </w:r>
      <w:bookmarkEnd w:id="41"/>
      <w:bookmarkEnd w:id="42"/>
    </w:p>
    <w:p w14:paraId="4D9F8667" w14:textId="77777777" w:rsidR="00E4027E" w:rsidRPr="00350989" w:rsidRDefault="00E4027E" w:rsidP="000D7F61">
      <w:pPr>
        <w:spacing w:after="0"/>
        <w:rPr>
          <w:lang w:eastAsia="en-GB"/>
        </w:rPr>
      </w:pPr>
    </w:p>
    <w:p w14:paraId="7BF40065" w14:textId="6EBFD067" w:rsidR="001E4166" w:rsidRPr="00350989" w:rsidRDefault="006B7206" w:rsidP="004C2B03">
      <w:pPr>
        <w:pStyle w:val="Heading2"/>
      </w:pPr>
      <w:bookmarkStart w:id="43" w:name="_Toc440298965"/>
      <w:bookmarkStart w:id="44" w:name="_Toc483409972"/>
      <w:r w:rsidRPr="00350989">
        <w:t>Progress on disability</w:t>
      </w:r>
      <w:r w:rsidR="00A14F67" w:rsidRPr="00350989">
        <w:t xml:space="preserve">-specific </w:t>
      </w:r>
      <w:r w:rsidR="001E4166" w:rsidRPr="00350989">
        <w:t xml:space="preserve">Country </w:t>
      </w:r>
      <w:r w:rsidR="00FA5809" w:rsidRPr="00350989">
        <w:t>S</w:t>
      </w:r>
      <w:r w:rsidR="001E4166" w:rsidRPr="00350989">
        <w:t xml:space="preserve">pecific </w:t>
      </w:r>
      <w:r w:rsidR="00FA5809" w:rsidRPr="00350989">
        <w:t>R</w:t>
      </w:r>
      <w:r w:rsidR="001E4166" w:rsidRPr="00350989">
        <w:t>ecommendations (CSRs)</w:t>
      </w:r>
      <w:bookmarkEnd w:id="43"/>
      <w:bookmarkEnd w:id="44"/>
    </w:p>
    <w:p w14:paraId="5AC020DF" w14:textId="77777777" w:rsidR="00E4027E" w:rsidRPr="00350989" w:rsidRDefault="00E4027E" w:rsidP="000D7F61">
      <w:pPr>
        <w:spacing w:after="0"/>
        <w:rPr>
          <w:lang w:eastAsia="en-GB"/>
        </w:rPr>
      </w:pPr>
    </w:p>
    <w:p w14:paraId="17B9E05C" w14:textId="77777777" w:rsidR="002029A1" w:rsidRPr="00350989" w:rsidRDefault="002029A1" w:rsidP="000D7F61">
      <w:pPr>
        <w:spacing w:after="0"/>
        <w:rPr>
          <w:lang w:eastAsia="en-GB"/>
        </w:rPr>
      </w:pPr>
      <w:r w:rsidRPr="00350989">
        <w:rPr>
          <w:lang w:eastAsia="en-GB"/>
        </w:rPr>
        <w:t>There are no disability-specific CSRs for Cyprus.</w:t>
      </w:r>
    </w:p>
    <w:p w14:paraId="50E0D8A0" w14:textId="77777777" w:rsidR="00E4027E" w:rsidRPr="00350989" w:rsidRDefault="00E4027E" w:rsidP="000D7F61">
      <w:pPr>
        <w:spacing w:after="0"/>
      </w:pPr>
    </w:p>
    <w:p w14:paraId="5CE35C99" w14:textId="542B8B8E" w:rsidR="006B7206" w:rsidRPr="00350989" w:rsidRDefault="00A14F67" w:rsidP="004C2B03">
      <w:pPr>
        <w:pStyle w:val="Heading2"/>
      </w:pPr>
      <w:bookmarkStart w:id="45" w:name="_Toc440298966"/>
      <w:bookmarkStart w:id="46" w:name="_Toc483409973"/>
      <w:r w:rsidRPr="00350989">
        <w:t>Progress on o</w:t>
      </w:r>
      <w:r w:rsidR="006B7206" w:rsidRPr="00350989">
        <w:t xml:space="preserve">ther CSRs </w:t>
      </w:r>
      <w:r w:rsidRPr="00350989">
        <w:t>from a</w:t>
      </w:r>
      <w:r w:rsidR="006B7206" w:rsidRPr="00350989">
        <w:t xml:space="preserve"> disability perspective</w:t>
      </w:r>
      <w:bookmarkEnd w:id="45"/>
      <w:bookmarkEnd w:id="46"/>
    </w:p>
    <w:p w14:paraId="196437B2" w14:textId="77777777" w:rsidR="00E4027E" w:rsidRPr="00350989" w:rsidRDefault="00E4027E" w:rsidP="000D7F61">
      <w:pPr>
        <w:spacing w:after="0"/>
        <w:rPr>
          <w:lang w:eastAsia="en-GB"/>
        </w:rPr>
      </w:pPr>
    </w:p>
    <w:p w14:paraId="34B96089" w14:textId="77777777" w:rsidR="002029A1" w:rsidRPr="00350989" w:rsidRDefault="002029A1" w:rsidP="000D7F61">
      <w:pPr>
        <w:spacing w:after="0"/>
        <w:rPr>
          <w:lang w:eastAsia="en-GB"/>
        </w:rPr>
      </w:pPr>
      <w:r w:rsidRPr="00350989">
        <w:rPr>
          <w:lang w:eastAsia="en-GB"/>
        </w:rPr>
        <w:t xml:space="preserve">There </w:t>
      </w:r>
      <w:r w:rsidR="00174834" w:rsidRPr="00350989">
        <w:rPr>
          <w:lang w:eastAsia="en-GB"/>
        </w:rPr>
        <w:t xml:space="preserve">were no CSRs for Cyprus in 2015 and there </w:t>
      </w:r>
      <w:r w:rsidRPr="00350989">
        <w:rPr>
          <w:lang w:eastAsia="en-GB"/>
        </w:rPr>
        <w:t>are no specific references to disability in the CSR</w:t>
      </w:r>
      <w:r w:rsidR="00174834" w:rsidRPr="00350989">
        <w:rPr>
          <w:lang w:eastAsia="en-GB"/>
        </w:rPr>
        <w:t>s</w:t>
      </w:r>
      <w:r w:rsidRPr="00350989">
        <w:rPr>
          <w:lang w:eastAsia="en-GB"/>
        </w:rPr>
        <w:t xml:space="preserve"> </w:t>
      </w:r>
      <w:r w:rsidR="00174834" w:rsidRPr="00350989">
        <w:rPr>
          <w:lang w:eastAsia="en-GB"/>
        </w:rPr>
        <w:t>for</w:t>
      </w:r>
      <w:r w:rsidRPr="00350989">
        <w:rPr>
          <w:lang w:eastAsia="en-GB"/>
        </w:rPr>
        <w:t xml:space="preserve"> 2016. The references to the lack of capacity to meet demand, to deliver quality job-search assistance and counselling and to reach out to the non-registered unemployed, as well as to lack of universal healthcare system and low participation of the young people in vocational education and training are considerations that concern people with disabilities as well. Progress and assessment of the current situation are discussed in the previous section of this report. </w:t>
      </w:r>
      <w:r w:rsidR="00957576" w:rsidRPr="00350989">
        <w:rPr>
          <w:lang w:eastAsia="en-GB"/>
        </w:rPr>
        <w:t>At this point it is worth to note that progress is needed (and not noted) regarding issues of independent living, transition to adulthood and employment/vocational training of particular groups of disabilities. Specifically, families of individuals with autism</w:t>
      </w:r>
      <w:r w:rsidR="00A5461F" w:rsidRPr="00350989">
        <w:rPr>
          <w:rStyle w:val="FootnoteReference"/>
          <w:lang w:eastAsia="en-GB"/>
        </w:rPr>
        <w:footnoteReference w:id="70"/>
      </w:r>
      <w:r w:rsidR="00957576" w:rsidRPr="00350989">
        <w:rPr>
          <w:lang w:eastAsia="en-GB"/>
        </w:rPr>
        <w:t xml:space="preserve"> as well as people with intellectual disabilities</w:t>
      </w:r>
      <w:r w:rsidR="009E4969" w:rsidRPr="00350989">
        <w:rPr>
          <w:rStyle w:val="FootnoteReference"/>
          <w:lang w:eastAsia="en-GB"/>
        </w:rPr>
        <w:footnoteReference w:id="71"/>
      </w:r>
      <w:r w:rsidR="00957576" w:rsidRPr="00350989">
        <w:rPr>
          <w:lang w:eastAsia="en-GB"/>
        </w:rPr>
        <w:t xml:space="preserve"> often express their concern and turn their efforts in negotiating with the State and other stakeholders for provisions on the transition to adulthood.</w:t>
      </w:r>
    </w:p>
    <w:p w14:paraId="46B93C70" w14:textId="77777777" w:rsidR="006B7206" w:rsidRPr="00350989" w:rsidRDefault="006B7206" w:rsidP="000D7F61">
      <w:pPr>
        <w:spacing w:after="0"/>
        <w:rPr>
          <w:lang w:eastAsia="en-GB"/>
        </w:rPr>
      </w:pPr>
    </w:p>
    <w:p w14:paraId="6922B1E6" w14:textId="73DDA9B8" w:rsidR="006B7206" w:rsidRPr="00350989" w:rsidRDefault="006B7206" w:rsidP="004C2B03">
      <w:pPr>
        <w:pStyle w:val="Heading2"/>
      </w:pPr>
      <w:bookmarkStart w:id="47" w:name="_Toc440298967"/>
      <w:bookmarkStart w:id="48" w:name="_Toc483409974"/>
      <w:r w:rsidRPr="00350989">
        <w:t xml:space="preserve">Assessment of disability issues in the </w:t>
      </w:r>
      <w:r w:rsidR="00A14F67" w:rsidRPr="00350989">
        <w:t>Country Report</w:t>
      </w:r>
      <w:r w:rsidR="008D2A5F" w:rsidRPr="00350989">
        <w:t xml:space="preserve"> (</w:t>
      </w:r>
      <w:r w:rsidR="00A14F67" w:rsidRPr="00350989">
        <w:t>CR</w:t>
      </w:r>
      <w:r w:rsidR="008D2A5F" w:rsidRPr="00350989">
        <w:t>)</w:t>
      </w:r>
      <w:bookmarkEnd w:id="47"/>
      <w:bookmarkEnd w:id="48"/>
    </w:p>
    <w:p w14:paraId="730FC5A7" w14:textId="77777777" w:rsidR="00E4027E" w:rsidRPr="00350989" w:rsidRDefault="00E4027E" w:rsidP="000D7F61">
      <w:pPr>
        <w:spacing w:after="0"/>
      </w:pPr>
    </w:p>
    <w:p w14:paraId="3F1E9699" w14:textId="78AB6ADF" w:rsidR="00E4027E" w:rsidRPr="00350989" w:rsidRDefault="00075D71" w:rsidP="000D7F61">
      <w:pPr>
        <w:spacing w:after="0"/>
      </w:pPr>
      <w:r w:rsidRPr="00350989">
        <w:t xml:space="preserve">The </w:t>
      </w:r>
      <w:r w:rsidR="000A78A1" w:rsidRPr="00350989">
        <w:t xml:space="preserve">Commission </w:t>
      </w:r>
      <w:r w:rsidRPr="00350989">
        <w:t>Staff Working Document</w:t>
      </w:r>
      <w:r w:rsidR="000A78A1" w:rsidRPr="00350989">
        <w:t xml:space="preserve"> (SWD 2016)</w:t>
      </w:r>
      <w:r w:rsidRPr="00350989">
        <w:t xml:space="preserve"> </w:t>
      </w:r>
      <w:r w:rsidR="008F7846" w:rsidRPr="00350989">
        <w:t xml:space="preserve">discusses, </w:t>
      </w:r>
      <w:r w:rsidR="007C44D0" w:rsidRPr="00350989">
        <w:t>amongst</w:t>
      </w:r>
      <w:r w:rsidR="008F7846" w:rsidRPr="00350989">
        <w:t xml:space="preserve"> other things</w:t>
      </w:r>
      <w:r w:rsidR="00B27748" w:rsidRPr="00350989">
        <w:t>,</w:t>
      </w:r>
      <w:r w:rsidR="007C44D0" w:rsidRPr="00350989">
        <w:t xml:space="preserve"> the</w:t>
      </w:r>
      <w:r w:rsidR="00B27748" w:rsidRPr="00350989">
        <w:t xml:space="preserve"> </w:t>
      </w:r>
      <w:r w:rsidR="000A78A1" w:rsidRPr="00350989">
        <w:t>Cyprus</w:t>
      </w:r>
      <w:r w:rsidR="007C44D0" w:rsidRPr="00350989">
        <w:t xml:space="preserve"> welfare reform</w:t>
      </w:r>
      <w:r w:rsidR="00B27748" w:rsidRPr="00350989">
        <w:t xml:space="preserve"> </w:t>
      </w:r>
      <w:r w:rsidR="000A78A1" w:rsidRPr="00350989">
        <w:t>mostly focussing on the implementation of the GMI. It highlights that the streamlining and administrative consolidation of benefits outside the GMI, such as specific disability benefits, is proceeding, at a slow pace. The document also assesses that despite changes in the GMI legislation in 2015, which relaxed certain eligibility criteria, the introduction of GMI has led to a lower than expected number of beneficiaries. Prior to the reform, there were 61</w:t>
      </w:r>
      <w:r w:rsidR="00CE3A11" w:rsidRPr="00350989">
        <w:t>,</w:t>
      </w:r>
      <w:r w:rsidR="000A78A1" w:rsidRPr="00350989">
        <w:t>500 families receiving social benefits in Cyprus, including pensioners. As of mid-March 2016, beneficiaries under GMI amounted to 25 508 families. The lower number of beneficiaries can be attributed to lower than expected applications by retirees, as well as to a relatively high rejection rate under the GMI criteria (63</w:t>
      </w:r>
      <w:r w:rsidR="009A0575" w:rsidRPr="00350989">
        <w:t xml:space="preserve"> %</w:t>
      </w:r>
      <w:r w:rsidR="000A78A1" w:rsidRPr="00350989">
        <w:t xml:space="preserve"> rejection rate), largely due to applicants having assets or deposits exceeding thresholds. Presently, about 27</w:t>
      </w:r>
      <w:r w:rsidR="009A0575" w:rsidRPr="00350989">
        <w:t xml:space="preserve"> %</w:t>
      </w:r>
      <w:r w:rsidR="000A78A1" w:rsidRPr="00350989">
        <w:t xml:space="preserve"> of family heads benefiting from GMI are unemployed, 16</w:t>
      </w:r>
      <w:r w:rsidR="009A0575" w:rsidRPr="00350989">
        <w:t xml:space="preserve"> %</w:t>
      </w:r>
      <w:r w:rsidR="000A78A1" w:rsidRPr="00350989">
        <w:t xml:space="preserve"> are working poor, 21</w:t>
      </w:r>
      <w:r w:rsidR="009A0575" w:rsidRPr="00350989">
        <w:t xml:space="preserve"> %</w:t>
      </w:r>
      <w:r w:rsidR="000A78A1" w:rsidRPr="00350989">
        <w:t xml:space="preserve"> are pensioners, and 36</w:t>
      </w:r>
      <w:r w:rsidR="009A0575" w:rsidRPr="00350989">
        <w:t xml:space="preserve"> %</w:t>
      </w:r>
      <w:r w:rsidR="000A78A1" w:rsidRPr="00350989">
        <w:t xml:space="preserve"> are inactive due to disability, domestic care responsibilities or other reasons (statistics provided by the Cyprus Ministry of Labour and Social Insurance).</w:t>
      </w:r>
    </w:p>
    <w:p w14:paraId="13843A09" w14:textId="77777777" w:rsidR="000A78A1" w:rsidRPr="00350989" w:rsidRDefault="000A78A1" w:rsidP="000D7F61">
      <w:pPr>
        <w:spacing w:after="0"/>
      </w:pPr>
    </w:p>
    <w:p w14:paraId="52B32590" w14:textId="2F41DA8F" w:rsidR="008270CC" w:rsidRPr="00350989" w:rsidRDefault="008270CC" w:rsidP="000D7F61">
      <w:pPr>
        <w:spacing w:after="0"/>
        <w:rPr>
          <w:color w:val="545454"/>
          <w:shd w:val="clear" w:color="auto" w:fill="FFFFFF"/>
        </w:rPr>
      </w:pPr>
      <w:r w:rsidRPr="00350989">
        <w:lastRenderedPageBreak/>
        <w:t>It also needs noting that the Staff Working Document acknowledges that progress with regard to the healthcare reform is very limited</w:t>
      </w:r>
      <w:r w:rsidR="000A78A1" w:rsidRPr="00350989">
        <w:t xml:space="preserve"> and there is a lack of universal healthcare coverage; </w:t>
      </w:r>
      <w:r w:rsidRPr="00350989">
        <w:t>this is an issue that adversely affects people with disabilities who cannot access quality healthcare</w:t>
      </w:r>
      <w:r w:rsidR="000A78A1" w:rsidRPr="00350989">
        <w:t xml:space="preserve"> (also see ANED Cyprus reports on Access</w:t>
      </w:r>
      <w:r w:rsidR="009D511F" w:rsidRPr="00350989">
        <w:rPr>
          <w:rStyle w:val="FootnoteReference"/>
        </w:rPr>
        <w:footnoteReference w:id="72"/>
      </w:r>
      <w:r w:rsidR="000A78A1" w:rsidRPr="00350989">
        <w:t xml:space="preserve"> to and Accessibility of Healthcare</w:t>
      </w:r>
      <w:r w:rsidR="004C2B03" w:rsidRPr="00350989">
        <w:t>).</w:t>
      </w:r>
      <w:r w:rsidR="009D511F" w:rsidRPr="00350989">
        <w:rPr>
          <w:rStyle w:val="FootnoteReference"/>
        </w:rPr>
        <w:footnoteReference w:id="73"/>
      </w:r>
      <w:r w:rsidRPr="00350989">
        <w:t xml:space="preserve"> It is indicative, for instance, that people with rheumatic diseases have complained about the fact that their local</w:t>
      </w:r>
      <w:r w:rsidR="00EC3D22" w:rsidRPr="00350989">
        <w:t xml:space="preserve"> hospital was scheduled to have</w:t>
      </w:r>
      <w:r w:rsidRPr="00350989">
        <w:t xml:space="preserve"> a rheumatologi</w:t>
      </w:r>
      <w:r w:rsidR="00EC3D22" w:rsidRPr="00350989">
        <w:t>st doctor one day per month and</w:t>
      </w:r>
      <w:r w:rsidRPr="00350989">
        <w:t xml:space="preserve"> they had to wait for over six months in order to see a specialist doctor.</w:t>
      </w:r>
      <w:r w:rsidRPr="00350989">
        <w:rPr>
          <w:vertAlign w:val="superscript"/>
        </w:rPr>
        <w:footnoteReference w:id="74"/>
      </w:r>
      <w:r w:rsidRPr="00350989">
        <w:rPr>
          <w:color w:val="545454"/>
          <w:shd w:val="clear" w:color="auto" w:fill="FFFFFF"/>
        </w:rPr>
        <w:t xml:space="preserve"> </w:t>
      </w:r>
    </w:p>
    <w:p w14:paraId="3DB4EB4A" w14:textId="77777777" w:rsidR="007F32C4" w:rsidRPr="00350989" w:rsidRDefault="007F32C4" w:rsidP="000D7F61">
      <w:pPr>
        <w:spacing w:after="0"/>
        <w:rPr>
          <w:color w:val="545454"/>
          <w:shd w:val="clear" w:color="auto" w:fill="FFFFFF"/>
        </w:rPr>
      </w:pPr>
    </w:p>
    <w:p w14:paraId="60B357E3" w14:textId="77777777" w:rsidR="007C44D0" w:rsidRPr="00350989" w:rsidRDefault="008270CC" w:rsidP="000D7F61">
      <w:pPr>
        <w:spacing w:after="0"/>
        <w:rPr>
          <w:lang w:eastAsia="x-none"/>
        </w:rPr>
      </w:pPr>
      <w:r w:rsidRPr="00350989">
        <w:t xml:space="preserve">In terms of employment, the Staff Working document </w:t>
      </w:r>
      <w:r w:rsidR="009D435C" w:rsidRPr="00350989">
        <w:t>highlights that even though the employment rate is increasing, it remains largely below the values reached in the pre-crisis period, when Cyprus was already fulfilling its national target (SWD 2016: 78). Looking into statistics in previous sections as well as data from the Department of Social Inclusion for People with Disabilities Annual reports, it seems that the situation on the employment of people with disabilities employed does not present any improvement.</w:t>
      </w:r>
    </w:p>
    <w:p w14:paraId="5B3F8FC8" w14:textId="77777777" w:rsidR="006B7206" w:rsidRPr="00350989" w:rsidRDefault="006B7206" w:rsidP="001A4BE6">
      <w:pPr>
        <w:pStyle w:val="Heading1"/>
      </w:pPr>
      <w:bookmarkStart w:id="49" w:name="_Toc440298968"/>
      <w:bookmarkStart w:id="50" w:name="_Toc483409975"/>
      <w:r w:rsidRPr="00350989">
        <w:lastRenderedPageBreak/>
        <w:t>Assessment of the structural funds ESIF 2014-2020 or other relevant funds</w:t>
      </w:r>
      <w:r w:rsidR="001335A3" w:rsidRPr="00350989">
        <w:t xml:space="preserve"> in relation to disability challenges</w:t>
      </w:r>
      <w:bookmarkEnd w:id="49"/>
      <w:bookmarkEnd w:id="50"/>
    </w:p>
    <w:p w14:paraId="307BD036" w14:textId="77777777" w:rsidR="007F32C4" w:rsidRPr="00350989" w:rsidRDefault="007F32C4" w:rsidP="000D7F61">
      <w:pPr>
        <w:spacing w:after="0"/>
        <w:rPr>
          <w:lang w:eastAsia="en-GB"/>
        </w:rPr>
      </w:pPr>
    </w:p>
    <w:p w14:paraId="18EF7851" w14:textId="1E3B4CAA" w:rsidR="00295890" w:rsidRPr="00350989" w:rsidRDefault="00931432" w:rsidP="000D7F61">
      <w:pPr>
        <w:spacing w:after="0"/>
        <w:rPr>
          <w:lang w:eastAsia="en-GB"/>
        </w:rPr>
      </w:pPr>
      <w:r w:rsidRPr="00350989">
        <w:rPr>
          <w:lang w:eastAsia="en-GB"/>
        </w:rPr>
        <w:t>Disability is mentioned 21 times in the Cyprus national Partnership Agreements for the ESIF period 2014-2020, in the Greek</w:t>
      </w:r>
      <w:r w:rsidR="009D3EED" w:rsidRPr="00350989">
        <w:rPr>
          <w:lang w:eastAsia="en-GB"/>
        </w:rPr>
        <w:t>:</w:t>
      </w:r>
      <w:r w:rsidRPr="00350989">
        <w:rPr>
          <w:rStyle w:val="FootnoteReference"/>
          <w:lang w:eastAsia="en-GB"/>
        </w:rPr>
        <w:footnoteReference w:id="75"/>
      </w:r>
      <w:r w:rsidR="00295890" w:rsidRPr="00350989">
        <w:rPr>
          <w:lang w:eastAsia="en-GB"/>
        </w:rPr>
        <w:t xml:space="preserve"> </w:t>
      </w:r>
    </w:p>
    <w:p w14:paraId="63F8D1B3" w14:textId="77777777" w:rsidR="004C2B03" w:rsidRPr="00350989" w:rsidRDefault="004C2B03" w:rsidP="000D7F61">
      <w:pPr>
        <w:spacing w:after="0"/>
        <w:rPr>
          <w:lang w:eastAsia="en-GB"/>
        </w:rPr>
      </w:pPr>
    </w:p>
    <w:p w14:paraId="35E786F4" w14:textId="56B3E8A8" w:rsidR="00295890" w:rsidRPr="00350989" w:rsidRDefault="00295890" w:rsidP="009D3EED">
      <w:pPr>
        <w:numPr>
          <w:ilvl w:val="0"/>
          <w:numId w:val="4"/>
        </w:numPr>
        <w:spacing w:after="0"/>
        <w:ind w:left="567" w:hanging="567"/>
        <w:rPr>
          <w:lang w:eastAsia="en-GB"/>
        </w:rPr>
      </w:pPr>
      <w:r w:rsidRPr="00350989">
        <w:rPr>
          <w:lang w:eastAsia="en-GB"/>
        </w:rPr>
        <w:t>7</w:t>
      </w:r>
      <w:r w:rsidR="00282923" w:rsidRPr="00350989">
        <w:rPr>
          <w:lang w:eastAsia="en-GB"/>
        </w:rPr>
        <w:t xml:space="preserve"> in </w:t>
      </w:r>
      <w:r w:rsidRPr="00350989">
        <w:rPr>
          <w:lang w:eastAsia="en-GB"/>
        </w:rPr>
        <w:t xml:space="preserve">relation to </w:t>
      </w:r>
      <w:r w:rsidR="004C2B03" w:rsidRPr="00350989">
        <w:rPr>
          <w:lang w:eastAsia="en-GB"/>
        </w:rPr>
        <w:t>Employment and Human Resources;</w:t>
      </w:r>
    </w:p>
    <w:p w14:paraId="0E311C14" w14:textId="16961815" w:rsidR="00295890" w:rsidRPr="00350989" w:rsidRDefault="00295890" w:rsidP="009D3EED">
      <w:pPr>
        <w:numPr>
          <w:ilvl w:val="0"/>
          <w:numId w:val="4"/>
        </w:numPr>
        <w:spacing w:after="0"/>
        <w:ind w:left="567" w:hanging="567"/>
        <w:rPr>
          <w:lang w:eastAsia="en-GB"/>
        </w:rPr>
      </w:pPr>
      <w:r w:rsidRPr="00350989">
        <w:rPr>
          <w:lang w:eastAsia="en-GB"/>
        </w:rPr>
        <w:t>1 in the table of the assessment of expected results</w:t>
      </w:r>
      <w:r w:rsidR="004C2B03" w:rsidRPr="00350989">
        <w:rPr>
          <w:lang w:eastAsia="en-GB"/>
        </w:rPr>
        <w:t>;</w:t>
      </w:r>
      <w:r w:rsidRPr="00350989">
        <w:rPr>
          <w:lang w:eastAsia="en-GB"/>
        </w:rPr>
        <w:t xml:space="preserve"> </w:t>
      </w:r>
    </w:p>
    <w:p w14:paraId="0D0EF227" w14:textId="280A2DC4" w:rsidR="00295890" w:rsidRPr="00350989" w:rsidRDefault="00295890" w:rsidP="009D3EED">
      <w:pPr>
        <w:numPr>
          <w:ilvl w:val="0"/>
          <w:numId w:val="4"/>
        </w:numPr>
        <w:spacing w:after="0"/>
        <w:ind w:left="567" w:hanging="567"/>
        <w:rPr>
          <w:lang w:eastAsia="en-GB"/>
        </w:rPr>
      </w:pPr>
      <w:r w:rsidRPr="00350989">
        <w:rPr>
          <w:lang w:eastAsia="en-GB"/>
        </w:rPr>
        <w:t>5 in the description of the thematic targets mainly under themat</w:t>
      </w:r>
      <w:r w:rsidR="004C2B03" w:rsidRPr="00350989">
        <w:rPr>
          <w:lang w:eastAsia="en-GB"/>
        </w:rPr>
        <w:t>ic target 9 – social inclusion;</w:t>
      </w:r>
    </w:p>
    <w:p w14:paraId="116C6F34" w14:textId="6CC56556" w:rsidR="00295890" w:rsidRPr="00350989" w:rsidRDefault="00295890" w:rsidP="009D3EED">
      <w:pPr>
        <w:numPr>
          <w:ilvl w:val="0"/>
          <w:numId w:val="4"/>
        </w:numPr>
        <w:spacing w:after="0"/>
        <w:ind w:left="567" w:hanging="567"/>
        <w:rPr>
          <w:lang w:eastAsia="en-GB"/>
        </w:rPr>
      </w:pPr>
      <w:r w:rsidRPr="00350989">
        <w:rPr>
          <w:lang w:eastAsia="en-GB"/>
        </w:rPr>
        <w:t>7 under the section on the Non-Discrimination Authority mainly in rela</w:t>
      </w:r>
      <w:r w:rsidR="004C2B03" w:rsidRPr="00350989">
        <w:rPr>
          <w:lang w:eastAsia="en-GB"/>
        </w:rPr>
        <w:t>tion to issues of accessibility;</w:t>
      </w:r>
    </w:p>
    <w:p w14:paraId="07F2D7BD" w14:textId="2A8C57EB" w:rsidR="00295890" w:rsidRPr="00350989" w:rsidRDefault="00295890" w:rsidP="009D3EED">
      <w:pPr>
        <w:numPr>
          <w:ilvl w:val="0"/>
          <w:numId w:val="4"/>
        </w:numPr>
        <w:spacing w:after="0"/>
        <w:ind w:left="567" w:hanging="567"/>
        <w:rPr>
          <w:lang w:eastAsia="en-GB"/>
        </w:rPr>
      </w:pPr>
      <w:r w:rsidRPr="00350989">
        <w:rPr>
          <w:lang w:eastAsia="en-GB"/>
        </w:rPr>
        <w:t>1 under the description of areas of vulnerable groups</w:t>
      </w:r>
      <w:r w:rsidR="004C2B03" w:rsidRPr="00350989">
        <w:rPr>
          <w:lang w:eastAsia="en-GB"/>
        </w:rPr>
        <w:t>.</w:t>
      </w:r>
    </w:p>
    <w:p w14:paraId="0A4B29D5" w14:textId="77777777" w:rsidR="00295890" w:rsidRPr="00350989" w:rsidRDefault="00295890" w:rsidP="000D7F61">
      <w:pPr>
        <w:spacing w:after="0"/>
        <w:rPr>
          <w:lang w:eastAsia="en-GB"/>
        </w:rPr>
      </w:pPr>
    </w:p>
    <w:p w14:paraId="00907E64" w14:textId="77777777" w:rsidR="00295890" w:rsidRPr="00350989" w:rsidRDefault="006E3A86" w:rsidP="000D7F61">
      <w:pPr>
        <w:spacing w:after="0"/>
        <w:rPr>
          <w:lang w:eastAsia="en-GB"/>
        </w:rPr>
      </w:pPr>
      <w:r w:rsidRPr="00350989">
        <w:rPr>
          <w:lang w:eastAsia="en-GB"/>
        </w:rPr>
        <w:t>Most of the ab</w:t>
      </w:r>
      <w:r w:rsidR="009D6F21" w:rsidRPr="00350989">
        <w:rPr>
          <w:lang w:eastAsia="en-GB"/>
        </w:rPr>
        <w:t>o</w:t>
      </w:r>
      <w:r w:rsidR="00295890" w:rsidRPr="00350989">
        <w:rPr>
          <w:lang w:eastAsia="en-GB"/>
        </w:rPr>
        <w:t xml:space="preserve">ve references are used as part of the terminology </w:t>
      </w:r>
      <w:r w:rsidRPr="00350989">
        <w:rPr>
          <w:lang w:eastAsia="en-GB"/>
        </w:rPr>
        <w:t>of the National Disability Acti</w:t>
      </w:r>
      <w:r w:rsidR="00295890" w:rsidRPr="00350989">
        <w:rPr>
          <w:lang w:eastAsia="en-GB"/>
        </w:rPr>
        <w:t>n Plan and National Disability Strategy, as well as the n</w:t>
      </w:r>
      <w:r w:rsidRPr="00350989">
        <w:rPr>
          <w:lang w:eastAsia="en-GB"/>
        </w:rPr>
        <w:t xml:space="preserve">ame of the Department </w:t>
      </w:r>
      <w:r w:rsidR="00295890" w:rsidRPr="00350989">
        <w:rPr>
          <w:lang w:eastAsia="en-GB"/>
        </w:rPr>
        <w:t>or Social Inclusion for People with Disabilities.</w:t>
      </w:r>
    </w:p>
    <w:p w14:paraId="424D63AC" w14:textId="77777777" w:rsidR="00931432" w:rsidRPr="00350989" w:rsidRDefault="00931432" w:rsidP="000D7F61">
      <w:pPr>
        <w:spacing w:after="0"/>
        <w:rPr>
          <w:lang w:eastAsia="en-GB"/>
        </w:rPr>
      </w:pPr>
    </w:p>
    <w:p w14:paraId="2DF590CF" w14:textId="459B3924" w:rsidR="008E51B4" w:rsidRPr="00350989" w:rsidRDefault="008E51B4" w:rsidP="000D7F61">
      <w:pPr>
        <w:spacing w:after="0"/>
        <w:rPr>
          <w:lang w:eastAsia="en-GB"/>
        </w:rPr>
      </w:pPr>
      <w:r w:rsidRPr="00350989">
        <w:rPr>
          <w:lang w:eastAsia="en-GB"/>
        </w:rPr>
        <w:t>For 2014-2</w:t>
      </w:r>
      <w:r w:rsidR="00CE7C01" w:rsidRPr="00350989">
        <w:rPr>
          <w:lang w:eastAsia="en-GB"/>
        </w:rPr>
        <w:t>0</w:t>
      </w:r>
      <w:r w:rsidRPr="00350989">
        <w:rPr>
          <w:lang w:eastAsia="en-GB"/>
        </w:rPr>
        <w:t>20 the Operational Programme of “Sustainable Development and Competiti</w:t>
      </w:r>
      <w:r w:rsidR="009D6F21" w:rsidRPr="00350989">
        <w:rPr>
          <w:lang w:eastAsia="en-GB"/>
        </w:rPr>
        <w:t>v</w:t>
      </w:r>
      <w:r w:rsidRPr="00350989">
        <w:rPr>
          <w:lang w:eastAsia="en-GB"/>
        </w:rPr>
        <w:t>eness” does not make any specific reference to people with disabilities in the Bene</w:t>
      </w:r>
      <w:r w:rsidR="009D6F21" w:rsidRPr="00350989">
        <w:rPr>
          <w:lang w:eastAsia="en-GB"/>
        </w:rPr>
        <w:t>f</w:t>
      </w:r>
      <w:r w:rsidRPr="00350989">
        <w:rPr>
          <w:lang w:eastAsia="en-GB"/>
        </w:rPr>
        <w:t>iciaries List according to the various Priority Axes and Projects</w:t>
      </w:r>
      <w:r w:rsidR="007F32C4" w:rsidRPr="00350989">
        <w:rPr>
          <w:lang w:eastAsia="en-GB"/>
        </w:rPr>
        <w:t>.</w:t>
      </w:r>
      <w:r w:rsidRPr="00350989">
        <w:rPr>
          <w:rStyle w:val="FootnoteReference"/>
          <w:lang w:eastAsia="en-GB"/>
        </w:rPr>
        <w:footnoteReference w:id="76"/>
      </w:r>
      <w:r w:rsidRPr="00350989">
        <w:rPr>
          <w:lang w:eastAsia="en-GB"/>
        </w:rPr>
        <w:t xml:space="preserve"> On the other ha</w:t>
      </w:r>
      <w:r w:rsidR="00A43D96" w:rsidRPr="00350989">
        <w:rPr>
          <w:lang w:eastAsia="en-GB"/>
        </w:rPr>
        <w:t>n</w:t>
      </w:r>
      <w:r w:rsidRPr="00350989">
        <w:rPr>
          <w:lang w:eastAsia="en-GB"/>
        </w:rPr>
        <w:t>d, the Operational Programme of “Employment, Human Capital and Social Cohesi</w:t>
      </w:r>
      <w:r w:rsidR="009D6F21" w:rsidRPr="00350989">
        <w:rPr>
          <w:lang w:eastAsia="en-GB"/>
        </w:rPr>
        <w:t>o</w:t>
      </w:r>
      <w:r w:rsidRPr="00350989">
        <w:rPr>
          <w:lang w:eastAsia="en-GB"/>
        </w:rPr>
        <w:t xml:space="preserve">n” includes people with disabilities in the beneficiaries of Priority Axis 3: Combating Poverty and Social Exclusion in (a) Project: System for the Evaluation of Functionality and Disability), and (b) Project: Incentives to industry for new employment positions: for vulnerable groups including people with disabilities. </w:t>
      </w:r>
    </w:p>
    <w:p w14:paraId="40C1138A" w14:textId="77777777" w:rsidR="007F32C4" w:rsidRPr="00350989" w:rsidRDefault="007F32C4" w:rsidP="000D7F61">
      <w:pPr>
        <w:spacing w:after="0"/>
        <w:rPr>
          <w:lang w:eastAsia="en-GB"/>
        </w:rPr>
      </w:pPr>
    </w:p>
    <w:p w14:paraId="4A1773C4" w14:textId="6D1B1336" w:rsidR="008E51B4" w:rsidRPr="00350989" w:rsidRDefault="008E51B4" w:rsidP="000D7F61">
      <w:pPr>
        <w:spacing w:after="0"/>
        <w:rPr>
          <w:lang w:eastAsia="en-GB"/>
        </w:rPr>
      </w:pPr>
      <w:r w:rsidRPr="00350989">
        <w:rPr>
          <w:lang w:eastAsia="en-GB"/>
        </w:rPr>
        <w:t xml:space="preserve">The </w:t>
      </w:r>
      <w:r w:rsidR="0099024F" w:rsidRPr="00350989">
        <w:rPr>
          <w:lang w:eastAsia="en-GB"/>
        </w:rPr>
        <w:t xml:space="preserve">latest </w:t>
      </w:r>
      <w:r w:rsidRPr="00350989">
        <w:rPr>
          <w:lang w:eastAsia="en-GB"/>
        </w:rPr>
        <w:t>avail</w:t>
      </w:r>
      <w:r w:rsidR="00C57DB1" w:rsidRPr="00350989">
        <w:rPr>
          <w:lang w:eastAsia="en-GB"/>
        </w:rPr>
        <w:t>a</w:t>
      </w:r>
      <w:r w:rsidRPr="00350989">
        <w:rPr>
          <w:lang w:eastAsia="en-GB"/>
        </w:rPr>
        <w:t>ble Annual Progress Report (</w:t>
      </w:r>
      <w:r w:rsidR="0099024F" w:rsidRPr="00350989">
        <w:rPr>
          <w:lang w:eastAsia="en-GB"/>
        </w:rPr>
        <w:t xml:space="preserve">June </w:t>
      </w:r>
      <w:r w:rsidRPr="00350989">
        <w:rPr>
          <w:lang w:eastAsia="en-GB"/>
        </w:rPr>
        <w:t>201</w:t>
      </w:r>
      <w:r w:rsidR="0099024F" w:rsidRPr="00350989">
        <w:rPr>
          <w:lang w:eastAsia="en-GB"/>
        </w:rPr>
        <w:t>6</w:t>
      </w:r>
      <w:r w:rsidRPr="00350989">
        <w:rPr>
          <w:lang w:eastAsia="en-GB"/>
        </w:rPr>
        <w:t>)</w:t>
      </w:r>
      <w:r w:rsidR="007F32C4" w:rsidRPr="00350989">
        <w:rPr>
          <w:lang w:eastAsia="en-GB"/>
        </w:rPr>
        <w:t>,</w:t>
      </w:r>
      <w:r w:rsidRPr="00350989">
        <w:rPr>
          <w:rStyle w:val="FootnoteReference"/>
          <w:lang w:eastAsia="en-GB"/>
        </w:rPr>
        <w:footnoteReference w:id="77"/>
      </w:r>
      <w:r w:rsidRPr="00350989">
        <w:rPr>
          <w:lang w:eastAsia="en-GB"/>
        </w:rPr>
        <w:t xml:space="preserve"> </w:t>
      </w:r>
      <w:r w:rsidR="0099024F" w:rsidRPr="00350989">
        <w:rPr>
          <w:lang w:eastAsia="en-GB"/>
        </w:rPr>
        <w:t>refers to disability in the Priority Axis on combating poverty and promoting social inclusion (p. 8) in the description of the new system for the assessment of functionality and disability. The system was funded by</w:t>
      </w:r>
      <w:r w:rsidRPr="00350989">
        <w:rPr>
          <w:lang w:eastAsia="en-GB"/>
        </w:rPr>
        <w:t xml:space="preserve"> </w:t>
      </w:r>
      <w:r w:rsidR="006E3A86" w:rsidRPr="00350989">
        <w:rPr>
          <w:lang w:eastAsia="en-GB"/>
        </w:rPr>
        <w:t>ESIF and</w:t>
      </w:r>
      <w:r w:rsidR="009D6F21" w:rsidRPr="00350989">
        <w:rPr>
          <w:lang w:eastAsia="en-GB"/>
        </w:rPr>
        <w:t xml:space="preserve"> 1140 individuals have been assessed</w:t>
      </w:r>
      <w:r w:rsidR="006E3A86" w:rsidRPr="00350989">
        <w:rPr>
          <w:lang w:eastAsia="en-GB"/>
        </w:rPr>
        <w:t xml:space="preserve"> till the end of 201</w:t>
      </w:r>
      <w:r w:rsidR="009D6F21" w:rsidRPr="00350989">
        <w:rPr>
          <w:lang w:eastAsia="en-GB"/>
        </w:rPr>
        <w:t xml:space="preserve">5. </w:t>
      </w:r>
      <w:r w:rsidR="00E96C21" w:rsidRPr="00350989">
        <w:rPr>
          <w:lang w:eastAsia="en-GB"/>
        </w:rPr>
        <w:t>Till 2023 the aim is 14500 persons with disabilities to be benefited under the ESIF for the priority of combating poverty and promoting social inclusion</w:t>
      </w:r>
      <w:r w:rsidR="009D3EED" w:rsidRPr="00350989">
        <w:rPr>
          <w:lang w:eastAsia="en-GB"/>
        </w:rPr>
        <w:t>.</w:t>
      </w:r>
      <w:r w:rsidR="00E96C21" w:rsidRPr="00350989">
        <w:rPr>
          <w:rStyle w:val="FootnoteReference"/>
          <w:lang w:eastAsia="en-GB"/>
        </w:rPr>
        <w:footnoteReference w:id="78"/>
      </w:r>
    </w:p>
    <w:p w14:paraId="00C10FDB" w14:textId="77777777" w:rsidR="007F32C4" w:rsidRPr="00350989" w:rsidRDefault="007F32C4" w:rsidP="000D7F61">
      <w:pPr>
        <w:spacing w:after="0"/>
        <w:rPr>
          <w:i/>
          <w:lang w:eastAsia="en-GB"/>
        </w:rPr>
      </w:pPr>
    </w:p>
    <w:p w14:paraId="0989FC62" w14:textId="5815C418" w:rsidR="008E51B4" w:rsidRPr="00350989" w:rsidRDefault="008E51B4" w:rsidP="000D7F61">
      <w:pPr>
        <w:spacing w:after="0"/>
        <w:rPr>
          <w:lang w:eastAsia="en-GB"/>
        </w:rPr>
      </w:pPr>
      <w:proofErr w:type="spellStart"/>
      <w:r w:rsidRPr="00350989">
        <w:lastRenderedPageBreak/>
        <w:t>Τ</w:t>
      </w:r>
      <w:r w:rsidRPr="00350989">
        <w:rPr>
          <w:lang w:eastAsia="en-GB"/>
        </w:rPr>
        <w:t>he</w:t>
      </w:r>
      <w:proofErr w:type="spellEnd"/>
      <w:r w:rsidRPr="00350989">
        <w:rPr>
          <w:lang w:eastAsia="en-GB"/>
        </w:rPr>
        <w:t xml:space="preserve"> Evaluation Plan</w:t>
      </w:r>
      <w:r w:rsidRPr="00350989">
        <w:rPr>
          <w:vertAlign w:val="superscript"/>
        </w:rPr>
        <w:footnoteReference w:id="79"/>
      </w:r>
      <w:r w:rsidR="00477AF9" w:rsidRPr="00350989">
        <w:rPr>
          <w:lang w:eastAsia="en-GB"/>
        </w:rPr>
        <w:t xml:space="preserve"> </w:t>
      </w:r>
      <w:r w:rsidRPr="00350989">
        <w:rPr>
          <w:lang w:eastAsia="en-GB"/>
        </w:rPr>
        <w:t xml:space="preserve">for both Operational Programmes – “Sustainable Development and Competitiveness” and “Employment, Human Capital and Social Cohesion” – </w:t>
      </w:r>
      <w:r w:rsidR="005E1084" w:rsidRPr="00350989">
        <w:rPr>
          <w:lang w:eastAsia="en-GB"/>
        </w:rPr>
        <w:t xml:space="preserve">for 2014-2020 </w:t>
      </w:r>
      <w:r w:rsidRPr="00350989">
        <w:rPr>
          <w:lang w:eastAsia="en-GB"/>
        </w:rPr>
        <w:t>includes issues of disability in objectives on Promotion of Social Inclusion and combating poverty and discrimination</w:t>
      </w:r>
      <w:r w:rsidR="005E1084" w:rsidRPr="00350989">
        <w:rPr>
          <w:lang w:eastAsia="en-GB"/>
        </w:rPr>
        <w:t xml:space="preserve"> (p. 11)</w:t>
      </w:r>
      <w:r w:rsidRPr="00350989">
        <w:rPr>
          <w:lang w:eastAsia="en-GB"/>
        </w:rPr>
        <w:t>, specifically referring to</w:t>
      </w:r>
      <w:r w:rsidR="005E1084" w:rsidRPr="00350989">
        <w:rPr>
          <w:lang w:eastAsia="en-GB"/>
        </w:rPr>
        <w:t xml:space="preserve"> evaluation of the policy </w:t>
      </w:r>
      <w:r w:rsidR="002E17C4" w:rsidRPr="00350989">
        <w:rPr>
          <w:lang w:eastAsia="en-GB"/>
        </w:rPr>
        <w:t xml:space="preserve">of the OPs </w:t>
      </w:r>
      <w:r w:rsidR="005E1084" w:rsidRPr="00350989">
        <w:rPr>
          <w:lang w:eastAsia="en-GB"/>
        </w:rPr>
        <w:t xml:space="preserve">for promoting gender equality, </w:t>
      </w:r>
      <w:r w:rsidR="002E17C4" w:rsidRPr="00350989">
        <w:rPr>
          <w:lang w:eastAsia="en-GB"/>
        </w:rPr>
        <w:t>and equal opportunities for ac</w:t>
      </w:r>
      <w:r w:rsidR="00554DB8" w:rsidRPr="00350989">
        <w:rPr>
          <w:lang w:eastAsia="en-GB"/>
        </w:rPr>
        <w:t>cess of</w:t>
      </w:r>
      <w:r w:rsidR="002E17C4" w:rsidRPr="00350989">
        <w:rPr>
          <w:lang w:eastAsia="en-GB"/>
        </w:rPr>
        <w:t xml:space="preserve"> people with disabilities (p. 31). Specifically, for the evaluation </w:t>
      </w:r>
      <w:r w:rsidRPr="00350989">
        <w:rPr>
          <w:lang w:eastAsia="en-GB"/>
        </w:rPr>
        <w:t>of the impact of the interventions in the spectrum of both the OP indicative questions for evaluation include issues of impact on the opportunities provided for people with disabilities in relation to equal opportunities on access (p. 51), on education, on positive actions that included people with disabilities such as inclusion in the labour market, and examples of good and bad practices for including/excluding people with disabilities (p. 55). The evaluation plan with respect to the impact of the interventions within both OP on issues of people with disabilities is anticipated to begin in 2019 (table page 58 of the Plan document), with duration of about 8 months and the cost of €</w:t>
      </w:r>
      <w:r w:rsidR="00477AF9" w:rsidRPr="00350989">
        <w:rPr>
          <w:lang w:eastAsia="en-GB"/>
        </w:rPr>
        <w:t xml:space="preserve"> </w:t>
      </w:r>
      <w:r w:rsidRPr="00350989">
        <w:rPr>
          <w:lang w:eastAsia="en-GB"/>
        </w:rPr>
        <w:t>70.000.</w:t>
      </w:r>
    </w:p>
    <w:p w14:paraId="0DA3FB72" w14:textId="77777777" w:rsidR="007F32C4" w:rsidRPr="00350989" w:rsidRDefault="007F32C4" w:rsidP="000D7F61">
      <w:pPr>
        <w:spacing w:after="0"/>
        <w:rPr>
          <w:lang w:eastAsia="en-GB"/>
        </w:rPr>
      </w:pPr>
    </w:p>
    <w:p w14:paraId="66F1FA19" w14:textId="57691282" w:rsidR="002E17C4" w:rsidRPr="00350989" w:rsidRDefault="006B1F0D" w:rsidP="000D7F61">
      <w:pPr>
        <w:spacing w:after="0"/>
        <w:rPr>
          <w:lang w:eastAsia="en-GB"/>
        </w:rPr>
      </w:pPr>
      <w:r w:rsidRPr="00350989">
        <w:rPr>
          <w:lang w:eastAsia="en-GB"/>
        </w:rPr>
        <w:t xml:space="preserve">The </w:t>
      </w:r>
      <w:r w:rsidR="007E7841" w:rsidRPr="00350989">
        <w:rPr>
          <w:lang w:eastAsia="en-GB"/>
        </w:rPr>
        <w:t xml:space="preserve">Evaluation Report </w:t>
      </w:r>
      <w:r w:rsidR="002E17C4" w:rsidRPr="00350989">
        <w:rPr>
          <w:lang w:eastAsia="en-GB"/>
        </w:rPr>
        <w:t>of</w:t>
      </w:r>
      <w:r w:rsidRPr="00350989">
        <w:rPr>
          <w:lang w:eastAsia="en-GB"/>
        </w:rPr>
        <w:t xml:space="preserve"> the </w:t>
      </w:r>
      <w:r w:rsidR="002E17C4" w:rsidRPr="00350989">
        <w:rPr>
          <w:lang w:eastAsia="en-GB"/>
        </w:rPr>
        <w:t xml:space="preserve">“Service Provision for the Estimation of the Interventions of the Common Support of the ESIF and the Youth Employment Initiative Including the Implementation of the “Guarantee for the Youth” regarding the Inclusion Young People in the Labour Market” </w:t>
      </w:r>
      <w:r w:rsidR="00554DB8" w:rsidRPr="00350989">
        <w:rPr>
          <w:lang w:eastAsia="en-GB"/>
        </w:rPr>
        <w:t>(Operational Programme: Employment, Human Capital and Social Cohesion)</w:t>
      </w:r>
      <w:r w:rsidR="00477AF9" w:rsidRPr="00350989">
        <w:rPr>
          <w:lang w:eastAsia="en-GB"/>
        </w:rPr>
        <w:t>,</w:t>
      </w:r>
      <w:r w:rsidR="00554DB8" w:rsidRPr="00350989">
        <w:rPr>
          <w:rStyle w:val="FootnoteReference"/>
          <w:lang w:eastAsia="en-GB"/>
        </w:rPr>
        <w:footnoteReference w:id="80"/>
      </w:r>
      <w:r w:rsidR="00554DB8" w:rsidRPr="00350989">
        <w:rPr>
          <w:lang w:eastAsia="en-GB"/>
        </w:rPr>
        <w:t xml:space="preserve"> </w:t>
      </w:r>
      <w:r w:rsidR="00CE7C01" w:rsidRPr="00350989">
        <w:rPr>
          <w:lang w:eastAsia="en-GB"/>
        </w:rPr>
        <w:t xml:space="preserve">has examined disability issues and showed that the Youth Employment Initiative does not make any specific reference to marginalised groups (including people with disability) </w:t>
      </w:r>
    </w:p>
    <w:p w14:paraId="4FE094EB" w14:textId="77777777" w:rsidR="00477AF9" w:rsidRPr="00350989" w:rsidRDefault="00477AF9" w:rsidP="000D7F61">
      <w:pPr>
        <w:spacing w:after="0"/>
        <w:rPr>
          <w:lang w:eastAsia="en-GB"/>
        </w:rPr>
      </w:pPr>
    </w:p>
    <w:p w14:paraId="04C70141" w14:textId="16943C78" w:rsidR="006B1F0D" w:rsidRPr="00350989" w:rsidRDefault="00CE7C01" w:rsidP="000D7F61">
      <w:pPr>
        <w:spacing w:after="0"/>
        <w:rPr>
          <w:lang w:eastAsia="en-GB"/>
        </w:rPr>
      </w:pPr>
      <w:r w:rsidRPr="00350989">
        <w:rPr>
          <w:lang w:eastAsia="en-GB"/>
        </w:rPr>
        <w:t xml:space="preserve">No Evaluation Reports for the </w:t>
      </w:r>
      <w:r w:rsidR="006B1F0D" w:rsidRPr="00350989">
        <w:rPr>
          <w:lang w:eastAsia="en-GB"/>
        </w:rPr>
        <w:t xml:space="preserve">Operational Programme: </w:t>
      </w:r>
      <w:r w:rsidRPr="00350989">
        <w:rPr>
          <w:lang w:eastAsia="en-GB"/>
        </w:rPr>
        <w:t>“Sustainable Development and Competitiveness</w:t>
      </w:r>
      <w:r w:rsidR="006B1F0D" w:rsidRPr="00350989">
        <w:rPr>
          <w:lang w:eastAsia="en-GB"/>
        </w:rPr>
        <w:t xml:space="preserve"> </w:t>
      </w:r>
      <w:r w:rsidR="00291E75" w:rsidRPr="00350989">
        <w:rPr>
          <w:lang w:eastAsia="en-GB"/>
        </w:rPr>
        <w:t>for</w:t>
      </w:r>
      <w:r w:rsidR="006B1F0D" w:rsidRPr="00350989">
        <w:rPr>
          <w:lang w:eastAsia="en-GB"/>
        </w:rPr>
        <w:t xml:space="preserve"> 20</w:t>
      </w:r>
      <w:r w:rsidRPr="00350989">
        <w:rPr>
          <w:lang w:eastAsia="en-GB"/>
        </w:rPr>
        <w:t>14</w:t>
      </w:r>
      <w:r w:rsidR="006B1F0D" w:rsidRPr="00350989">
        <w:rPr>
          <w:lang w:eastAsia="en-GB"/>
        </w:rPr>
        <w:t>-20</w:t>
      </w:r>
      <w:r w:rsidRPr="00350989">
        <w:rPr>
          <w:lang w:eastAsia="en-GB"/>
        </w:rPr>
        <w:t xml:space="preserve">20 are yet </w:t>
      </w:r>
      <w:r w:rsidR="006B1F0D" w:rsidRPr="00350989">
        <w:rPr>
          <w:lang w:eastAsia="en-GB"/>
        </w:rPr>
        <w:t>available on the website of the Cyprus Structural Funds.</w:t>
      </w:r>
    </w:p>
    <w:p w14:paraId="6187C805" w14:textId="77777777" w:rsidR="007F32C4" w:rsidRPr="00350989" w:rsidRDefault="007F32C4" w:rsidP="000D7F61">
      <w:pPr>
        <w:spacing w:after="0"/>
        <w:rPr>
          <w:lang w:eastAsia="en-GB"/>
        </w:rPr>
      </w:pPr>
    </w:p>
    <w:p w14:paraId="31114481" w14:textId="77777777" w:rsidR="006B1F0D" w:rsidRPr="00350989" w:rsidRDefault="00CE7C01" w:rsidP="000D7F61">
      <w:pPr>
        <w:spacing w:after="0"/>
        <w:rPr>
          <w:lang w:eastAsia="en-GB"/>
        </w:rPr>
      </w:pPr>
      <w:r w:rsidRPr="00350989">
        <w:rPr>
          <w:lang w:eastAsia="en-GB"/>
        </w:rPr>
        <w:t>The older evaluation reports (2007-2013) are not available any more. Information can be found on the 2015 ANED EU2020 country report.</w:t>
      </w:r>
    </w:p>
    <w:p w14:paraId="7E7DD6C9" w14:textId="77777777" w:rsidR="006B7206" w:rsidRPr="00350989" w:rsidRDefault="006B7206" w:rsidP="000D7F61">
      <w:pPr>
        <w:spacing w:after="0"/>
        <w:rPr>
          <w:rFonts w:eastAsia="SimSun"/>
          <w:lang w:eastAsia="en-GB"/>
        </w:rPr>
      </w:pPr>
    </w:p>
    <w:p w14:paraId="3CA5D9A0" w14:textId="77777777" w:rsidR="006B7206" w:rsidRPr="00350989" w:rsidRDefault="006B7206" w:rsidP="001A4BE6">
      <w:pPr>
        <w:pStyle w:val="Heading1"/>
      </w:pPr>
      <w:bookmarkStart w:id="51" w:name="_Toc440298969"/>
      <w:bookmarkStart w:id="52" w:name="_Toc483409976"/>
      <w:r w:rsidRPr="00350989">
        <w:lastRenderedPageBreak/>
        <w:t>Recommendations</w:t>
      </w:r>
      <w:bookmarkEnd w:id="51"/>
      <w:bookmarkEnd w:id="52"/>
    </w:p>
    <w:p w14:paraId="419AABA9" w14:textId="77777777" w:rsidR="00511C69" w:rsidRPr="00350989" w:rsidRDefault="00511C69" w:rsidP="000D7F61">
      <w:pPr>
        <w:autoSpaceDE w:val="0"/>
        <w:autoSpaceDN w:val="0"/>
        <w:adjustRightInd w:val="0"/>
        <w:spacing w:after="0"/>
        <w:rPr>
          <w:b/>
          <w:lang w:eastAsia="en-GB"/>
        </w:rPr>
      </w:pPr>
    </w:p>
    <w:p w14:paraId="65B858BF" w14:textId="2631726F" w:rsidR="00894151" w:rsidRPr="00350989" w:rsidRDefault="00894151" w:rsidP="0079686D">
      <w:pPr>
        <w:pStyle w:val="Heading2"/>
      </w:pPr>
      <w:bookmarkStart w:id="53" w:name="_Toc483409977"/>
      <w:r w:rsidRPr="00350989">
        <w:t>Employment</w:t>
      </w:r>
      <w:bookmarkEnd w:id="53"/>
    </w:p>
    <w:p w14:paraId="6C3175DE" w14:textId="77777777" w:rsidR="00511C69" w:rsidRPr="00350989" w:rsidRDefault="00511C69" w:rsidP="000D7F61">
      <w:pPr>
        <w:autoSpaceDE w:val="0"/>
        <w:autoSpaceDN w:val="0"/>
        <w:adjustRightInd w:val="0"/>
        <w:spacing w:after="0"/>
        <w:rPr>
          <w:b/>
          <w:lang w:eastAsia="en-GB"/>
        </w:rPr>
      </w:pPr>
    </w:p>
    <w:p w14:paraId="4083C7B9" w14:textId="77777777" w:rsidR="00894151" w:rsidRPr="00350989" w:rsidRDefault="00894151" w:rsidP="000D7F61">
      <w:pPr>
        <w:spacing w:after="0"/>
      </w:pPr>
      <w:r w:rsidRPr="00350989">
        <w:t xml:space="preserve">Despite the introduction of legislative mandates to enhance the inclusion of disabled people in </w:t>
      </w:r>
      <w:proofErr w:type="spellStart"/>
      <w:r w:rsidRPr="00350989">
        <w:t>labor</w:t>
      </w:r>
      <w:proofErr w:type="spellEnd"/>
      <w:r w:rsidRPr="00350989">
        <w:t xml:space="preserve"> market, there are still many issues that need to be addressed in order to facilitate access to the </w:t>
      </w:r>
      <w:proofErr w:type="spellStart"/>
      <w:r w:rsidRPr="00350989">
        <w:t>labor</w:t>
      </w:r>
      <w:proofErr w:type="spellEnd"/>
      <w:r w:rsidRPr="00350989">
        <w:t xml:space="preserve"> market especially in light of   high levels of unemployment amongst the general population due to the recent fiscal crisis. Another significant issue that needs to be taken into consideration is the prevalence of discriminatory attitudes towards persons with disabilities who are denied access to work and employment both in the private and public sector (</w:t>
      </w:r>
      <w:proofErr w:type="spellStart"/>
      <w:r w:rsidRPr="00350989">
        <w:t>Damianidou</w:t>
      </w:r>
      <w:proofErr w:type="spellEnd"/>
      <w:r w:rsidRPr="00350989">
        <w:t xml:space="preserve"> and </w:t>
      </w:r>
      <w:proofErr w:type="spellStart"/>
      <w:r w:rsidRPr="00350989">
        <w:t>Phtiaka</w:t>
      </w:r>
      <w:proofErr w:type="spellEnd"/>
      <w:r w:rsidRPr="00350989">
        <w:t xml:space="preserve"> 2010)</w:t>
      </w:r>
      <w:r w:rsidR="00511C69" w:rsidRPr="00350989">
        <w:t>.</w:t>
      </w:r>
      <w:r w:rsidRPr="00350989">
        <w:rPr>
          <w:rStyle w:val="FootnoteReference"/>
        </w:rPr>
        <w:footnoteReference w:id="81"/>
      </w:r>
    </w:p>
    <w:p w14:paraId="1A91EAA3" w14:textId="77777777" w:rsidR="00511C69" w:rsidRPr="00350989" w:rsidRDefault="00511C69" w:rsidP="000D7F61">
      <w:pPr>
        <w:spacing w:after="0"/>
      </w:pPr>
    </w:p>
    <w:p w14:paraId="6AE32E4D" w14:textId="77777777" w:rsidR="00894151" w:rsidRPr="00350989" w:rsidRDefault="00894151" w:rsidP="000D7F61">
      <w:pPr>
        <w:spacing w:after="0"/>
        <w:rPr>
          <w:color w:val="222222"/>
          <w:shd w:val="clear" w:color="auto" w:fill="FFFFFF"/>
        </w:rPr>
      </w:pPr>
      <w:r w:rsidRPr="00350989">
        <w:t>A considerable number of work-related discriminatory Incidences of people with disabilities in Cyprus have been investigated by the office of the Commissioner for Administration and Human Rights (Ombudsman)</w:t>
      </w:r>
      <w:r w:rsidR="00511C69" w:rsidRPr="00350989">
        <w:t>.</w:t>
      </w:r>
      <w:r w:rsidRPr="00350989">
        <w:rPr>
          <w:rStyle w:val="FootnoteReference"/>
        </w:rPr>
        <w:footnoteReference w:id="82"/>
      </w:r>
      <w:r w:rsidRPr="00350989">
        <w:t xml:space="preserve"> </w:t>
      </w:r>
      <w:r w:rsidRPr="00350989">
        <w:rPr>
          <w:color w:val="000000"/>
        </w:rPr>
        <w:t xml:space="preserve">An indicative example is the case of a disabled employee of the </w:t>
      </w:r>
      <w:r w:rsidRPr="00350989">
        <w:rPr>
          <w:color w:val="222222"/>
        </w:rPr>
        <w:t>C</w:t>
      </w:r>
      <w:r w:rsidRPr="00350989">
        <w:rPr>
          <w:color w:val="222222"/>
          <w:shd w:val="clear" w:color="auto" w:fill="FFFFFF"/>
        </w:rPr>
        <w:t>yprus' public broadcasting service (CyBC)- who became disabled after a car accident four years ago. The CYBC refused to make reasonable accommodations so as to meet disability-related needs and as a result, the disabled employee had to resign (</w:t>
      </w:r>
      <w:proofErr w:type="spellStart"/>
      <w:r w:rsidRPr="00350989">
        <w:rPr>
          <w:color w:val="222222"/>
          <w:shd w:val="clear" w:color="auto" w:fill="FFFFFF"/>
        </w:rPr>
        <w:t>Fileleftheros</w:t>
      </w:r>
      <w:proofErr w:type="spellEnd"/>
      <w:r w:rsidRPr="00350989">
        <w:rPr>
          <w:color w:val="222222"/>
          <w:shd w:val="clear" w:color="auto" w:fill="FFFFFF"/>
        </w:rPr>
        <w:t xml:space="preserve"> 26 March 2015)</w:t>
      </w:r>
      <w:r w:rsidR="00511C69" w:rsidRPr="00350989">
        <w:rPr>
          <w:color w:val="222222"/>
          <w:shd w:val="clear" w:color="auto" w:fill="FFFFFF"/>
        </w:rPr>
        <w:t>.</w:t>
      </w:r>
      <w:r w:rsidRPr="00350989">
        <w:rPr>
          <w:rStyle w:val="FootnoteReference"/>
          <w:color w:val="222222"/>
          <w:shd w:val="clear" w:color="auto" w:fill="FFFFFF"/>
        </w:rPr>
        <w:footnoteReference w:id="83"/>
      </w:r>
      <w:r w:rsidRPr="00350989">
        <w:rPr>
          <w:color w:val="222222"/>
          <w:shd w:val="clear" w:color="auto" w:fill="FFFFFF"/>
        </w:rPr>
        <w:t xml:space="preserve"> </w:t>
      </w:r>
    </w:p>
    <w:p w14:paraId="28743DEE" w14:textId="77777777" w:rsidR="00511C69" w:rsidRPr="00350989" w:rsidRDefault="00511C69" w:rsidP="000D7F61">
      <w:pPr>
        <w:spacing w:after="0"/>
        <w:rPr>
          <w:color w:val="FF0000"/>
          <w:shd w:val="clear" w:color="auto" w:fill="E7E7E7"/>
        </w:rPr>
      </w:pPr>
    </w:p>
    <w:p w14:paraId="0E7893FA" w14:textId="77777777" w:rsidR="00894151" w:rsidRPr="00350989" w:rsidRDefault="00894151" w:rsidP="000D7F61">
      <w:pPr>
        <w:spacing w:after="0"/>
        <w:rPr>
          <w:rStyle w:val="CommentReference"/>
          <w:sz w:val="24"/>
          <w:szCs w:val="24"/>
          <w:lang w:eastAsia="x-none"/>
        </w:rPr>
      </w:pPr>
      <w:r w:rsidRPr="00350989">
        <w:t>Understandably, legislative changes aimed at enhancing the employment of persons with disabilities need to be ushered in by a number of other measures and monitoring mechanisms so as to oversee the implementation process and to address issues related to discriminatory attitudes and practices towards persons with disabilities.</w:t>
      </w:r>
      <w:r w:rsidRPr="00350989" w:rsidDel="00894151">
        <w:rPr>
          <w:rStyle w:val="CommentReference"/>
          <w:sz w:val="24"/>
          <w:szCs w:val="24"/>
          <w:lang w:eastAsia="x-none"/>
        </w:rPr>
        <w:t xml:space="preserve"> </w:t>
      </w:r>
    </w:p>
    <w:p w14:paraId="42D1A05B" w14:textId="77777777" w:rsidR="00511C69" w:rsidRPr="00350989" w:rsidRDefault="00511C69" w:rsidP="000D7F61">
      <w:pPr>
        <w:spacing w:after="0"/>
      </w:pPr>
    </w:p>
    <w:p w14:paraId="7F01A848" w14:textId="2F342369" w:rsidR="00AA2340" w:rsidRPr="00350989" w:rsidRDefault="0054550D" w:rsidP="00C55324">
      <w:pPr>
        <w:pStyle w:val="Heading2"/>
      </w:pPr>
      <w:bookmarkStart w:id="54" w:name="_Toc483409978"/>
      <w:r w:rsidRPr="00350989">
        <w:t>Education</w:t>
      </w:r>
      <w:bookmarkEnd w:id="54"/>
      <w:r w:rsidRPr="00350989">
        <w:t xml:space="preserve"> </w:t>
      </w:r>
    </w:p>
    <w:p w14:paraId="7DA1E191" w14:textId="77777777" w:rsidR="00511C69" w:rsidRPr="00350989" w:rsidRDefault="00511C69" w:rsidP="000D7F61">
      <w:pPr>
        <w:spacing w:after="0"/>
      </w:pPr>
    </w:p>
    <w:p w14:paraId="46576AFE" w14:textId="77777777" w:rsidR="00B90572" w:rsidRPr="00350989" w:rsidRDefault="002504A8" w:rsidP="000D7F61">
      <w:pPr>
        <w:spacing w:after="0"/>
      </w:pPr>
      <w:r w:rsidRPr="00350989">
        <w:t>Re</w:t>
      </w:r>
      <w:r w:rsidR="0054550D" w:rsidRPr="00350989">
        <w:t xml:space="preserve">ducing the numbers of early school leavers and enhancing accessibility to Higher Education on the grounds of disability necessitates creating quality early years, primary and secondary school settings for learner diversity. Early SEN/D identification and intervention should be mandated across early years’ and primary school providers. Early intervention should be applied through universal screening assessments so as to single out students at risk in terms of reading and behaviour. </w:t>
      </w:r>
      <w:r w:rsidR="00A968BD" w:rsidRPr="00350989">
        <w:t xml:space="preserve">This approach necessitates establishing </w:t>
      </w:r>
      <w:r w:rsidR="00B90572" w:rsidRPr="00350989">
        <w:t>early childhood intervention (ECI) services that are necessary for children from  birth to three or five years old who have developmental delays, disabilities, chronic illness  as well as other biographical conditions that call for more intensive and focused forms of intervention and support</w:t>
      </w:r>
      <w:r w:rsidR="007D23CA" w:rsidRPr="00350989">
        <w:t xml:space="preserve"> ( see Vargas-</w:t>
      </w:r>
      <w:proofErr w:type="spellStart"/>
      <w:r w:rsidR="007D23CA" w:rsidRPr="00350989">
        <w:t>Barόn</w:t>
      </w:r>
      <w:proofErr w:type="spellEnd"/>
      <w:r w:rsidR="007D23CA" w:rsidRPr="00350989">
        <w:t xml:space="preserve"> 2014)</w:t>
      </w:r>
      <w:r w:rsidR="00511C69" w:rsidRPr="00350989">
        <w:t>.</w:t>
      </w:r>
      <w:r w:rsidR="007D23CA" w:rsidRPr="00350989">
        <w:rPr>
          <w:rStyle w:val="FootnoteReference"/>
        </w:rPr>
        <w:footnoteReference w:id="84"/>
      </w:r>
      <w:r w:rsidR="00B90572" w:rsidRPr="00350989">
        <w:t xml:space="preserve"> Even though ECI services have been established in many </w:t>
      </w:r>
      <w:r w:rsidR="00B90572" w:rsidRPr="00350989">
        <w:lastRenderedPageBreak/>
        <w:t>countries ac</w:t>
      </w:r>
      <w:r w:rsidR="00EC3D22" w:rsidRPr="00350989">
        <w:t>ross the globe, such a prospect</w:t>
      </w:r>
      <w:r w:rsidR="00B90572" w:rsidRPr="00350989">
        <w:t xml:space="preserve"> has not</w:t>
      </w:r>
      <w:r w:rsidR="00711398" w:rsidRPr="00350989">
        <w:t xml:space="preserve"> even</w:t>
      </w:r>
      <w:r w:rsidR="00B90572" w:rsidRPr="00350989">
        <w:t xml:space="preserve"> been discussed in the Cypriot context bearing in mind that the official special education legislation stipulates that the responsibility of the state in meeting the needs of children designated as having special educational needs and/or disabilities </w:t>
      </w:r>
      <w:r w:rsidR="00711398" w:rsidRPr="00350989">
        <w:t>starts</w:t>
      </w:r>
      <w:r w:rsidR="00B90572" w:rsidRPr="00350989">
        <w:t xml:space="preserve"> at the age of 3 and not earlier.</w:t>
      </w:r>
    </w:p>
    <w:p w14:paraId="22B05ABB" w14:textId="77777777" w:rsidR="00511C69" w:rsidRPr="00350989" w:rsidRDefault="00511C69" w:rsidP="000D7F61">
      <w:pPr>
        <w:spacing w:after="0"/>
      </w:pPr>
    </w:p>
    <w:p w14:paraId="62958435" w14:textId="77777777" w:rsidR="0054550D" w:rsidRPr="00350989" w:rsidRDefault="0054550D" w:rsidP="000D7F61">
      <w:pPr>
        <w:spacing w:after="0"/>
      </w:pPr>
      <w:r w:rsidRPr="00350989">
        <w:t xml:space="preserve">At the same time, an early intervention approach necessitates establishing high levels of school and teacher accountability regimes for disabled students’ learning in terms of providing quality and evidence-based instruction in general classrooms. </w:t>
      </w:r>
      <w:r w:rsidR="007D23CA" w:rsidRPr="00350989">
        <w:t>This is again something that the Cypriot edu</w:t>
      </w:r>
      <w:r w:rsidR="00EC3D22" w:rsidRPr="00350989">
        <w:t>cation system has been</w:t>
      </w:r>
      <w:r w:rsidR="007D23CA" w:rsidRPr="00350989">
        <w:t xml:space="preserve"> criticized for as there is patent lack of professional accountability not only in terms of disabled students’ learning but for all students’ learning.</w:t>
      </w:r>
      <w:r w:rsidR="007D23CA" w:rsidRPr="00350989">
        <w:rPr>
          <w:rStyle w:val="FootnoteReference"/>
        </w:rPr>
        <w:footnoteReference w:id="85"/>
      </w:r>
      <w:r w:rsidR="007D23CA" w:rsidRPr="00350989">
        <w:t xml:space="preserve">  </w:t>
      </w:r>
    </w:p>
    <w:p w14:paraId="1CFDE203" w14:textId="77777777" w:rsidR="00E33428" w:rsidRPr="00350989" w:rsidRDefault="00E33428" w:rsidP="000D7F61">
      <w:pPr>
        <w:autoSpaceDE w:val="0"/>
        <w:autoSpaceDN w:val="0"/>
        <w:adjustRightInd w:val="0"/>
        <w:spacing w:after="0"/>
      </w:pPr>
    </w:p>
    <w:p w14:paraId="52D45120" w14:textId="77777777" w:rsidR="00E33428" w:rsidRPr="00350989" w:rsidRDefault="00E33428" w:rsidP="000D7F61">
      <w:pPr>
        <w:autoSpaceDE w:val="0"/>
        <w:autoSpaceDN w:val="0"/>
        <w:adjustRightInd w:val="0"/>
        <w:spacing w:after="0"/>
      </w:pPr>
      <w:r w:rsidRPr="00350989">
        <w:t xml:space="preserve">Moreover, </w:t>
      </w:r>
      <w:r w:rsidR="00017651" w:rsidRPr="00350989">
        <w:t>i</w:t>
      </w:r>
      <w:r w:rsidRPr="00350989">
        <w:t xml:space="preserve">t is imperative that national data on disability is improved, standardized and consistently reviewed so as to understand the barriers that disabled people experience in their daily lives, with a view to formulating/revising relevant policies and devising national action plans to address gaps in policy and provision. At the same time, it is important to note that there is patent lack of data on the quality of the learning support provided to students designated as having special educational needs and/or disabilities (SEN/D), along with the impact of this support on students’ progress. This kind of data is crucially important in order to promote accountability with regard to the educational outcomes of students with SEN/D and by implication, to reduce the numbers of early school leavers on the grounds of disability. </w:t>
      </w:r>
    </w:p>
    <w:p w14:paraId="36390FC4" w14:textId="77777777" w:rsidR="00E33428" w:rsidRPr="00350989" w:rsidRDefault="00E33428" w:rsidP="000D7F61">
      <w:pPr>
        <w:autoSpaceDE w:val="0"/>
        <w:autoSpaceDN w:val="0"/>
        <w:adjustRightInd w:val="0"/>
        <w:spacing w:after="0"/>
      </w:pPr>
    </w:p>
    <w:p w14:paraId="461EB58F" w14:textId="14C1293B" w:rsidR="00E33428" w:rsidRPr="00350989" w:rsidRDefault="005F31E0" w:rsidP="000D7F61">
      <w:pPr>
        <w:spacing w:after="0"/>
      </w:pPr>
      <w:r>
        <w:t xml:space="preserve">As far as </w:t>
      </w:r>
      <w:r w:rsidR="00E33428" w:rsidRPr="00350989">
        <w:t>disability accessibility in Higher Education is concerned, even in cases whereby higher education institutions provide some kind of disability support services, these forms of support reﬂect an individual pathology approach that is focused on ‘caring for and compensating disabled students’ (Beauchamp-Pryor, 2013).</w:t>
      </w:r>
      <w:r w:rsidR="00E33428" w:rsidRPr="00350989">
        <w:rPr>
          <w:rStyle w:val="FootnoteReference"/>
        </w:rPr>
        <w:footnoteReference w:id="86"/>
      </w:r>
      <w:r w:rsidR="00E33428" w:rsidRPr="00350989">
        <w:t xml:space="preserve"> Disability support services are thus largely seen as being distinct from the role of the academic tutor in embedding exclusionary regimes into the learning process and the student–tutor relationship. As a result, it is occasionally the case that disabled students are segregated from their nondisabled peers so as to have additional time during exams. In certain instances, segregation does not only result from the necessity of giving extra time during exams; rather the allocation of a ‘separate room’ is presented as an autonomous ‘exam access arrangement’ for disabled students. In so doing, disabled students are singled out as being ‘different’ and in need of compensatory measures of support (</w:t>
      </w:r>
      <w:proofErr w:type="spellStart"/>
      <w:r w:rsidR="00E33428" w:rsidRPr="00350989">
        <w:t>Madriaga</w:t>
      </w:r>
      <w:proofErr w:type="spellEnd"/>
      <w:r w:rsidR="00E33428" w:rsidRPr="00350989">
        <w:t>, Hanson, Kay &amp; Walker, 2011).</w:t>
      </w:r>
      <w:r w:rsidR="00E33428" w:rsidRPr="00350989">
        <w:rPr>
          <w:rStyle w:val="FootnoteReference"/>
        </w:rPr>
        <w:footnoteReference w:id="87"/>
      </w:r>
      <w:r w:rsidR="00477AF9" w:rsidRPr="00350989">
        <w:t xml:space="preserve"> </w:t>
      </w:r>
      <w:r w:rsidR="00E33428" w:rsidRPr="00350989">
        <w:t>These practices are antithetical to the principles of an inclusive discourse that is geared towards the necessity of responding to learner diversity without having recourse to segregating and stigmatising forms of provision.</w:t>
      </w:r>
    </w:p>
    <w:p w14:paraId="2328033F" w14:textId="0723BD76" w:rsidR="00E33428" w:rsidRPr="00350989" w:rsidRDefault="00E33428" w:rsidP="000D7F61">
      <w:pPr>
        <w:spacing w:after="0"/>
      </w:pPr>
      <w:r w:rsidRPr="00350989">
        <w:lastRenderedPageBreak/>
        <w:t xml:space="preserve">Negative attitudes are also prevalent among non-disabled students–something that is responsible for the social isolation of disabled students in higher education institutions. This parameter is occasionally omitted when discussing issues of enhancing one’s participation in higher education and raises signiﬁcant concerns about the necessity of placing a more pronounced emphasis on understanding the overall educational experiences of this group of students (Sachs and </w:t>
      </w:r>
      <w:proofErr w:type="spellStart"/>
      <w:r w:rsidRPr="00350989">
        <w:t>Schreuer</w:t>
      </w:r>
      <w:proofErr w:type="spellEnd"/>
      <w:r w:rsidRPr="00350989">
        <w:t xml:space="preserve"> 2011)</w:t>
      </w:r>
      <w:r w:rsidR="005F31E0">
        <w:t>.</w:t>
      </w:r>
      <w:r w:rsidRPr="00350989">
        <w:rPr>
          <w:rStyle w:val="FootnoteReference"/>
        </w:rPr>
        <w:footnoteReference w:id="88"/>
      </w:r>
      <w:r w:rsidRPr="00350989">
        <w:t xml:space="preserve"> At the same time, particular consideration should also be given to the fact that disabled individuals do not form a homogeneous group of students. The differing nature of disabilities necessitates transcending the dualistic logic of the disabled/non-disabled distinction so as to understand the ways in which different kinds of disability evoke different sociocultural responses as well as different experiential embodiments of disability.</w:t>
      </w:r>
      <w:r w:rsidR="00017651" w:rsidRPr="00350989">
        <w:t xml:space="preserve"> </w:t>
      </w:r>
      <w:r w:rsidRPr="00350989">
        <w:t>This point also relates to the different degrees of privilege afforded to certain disabled students in accessing existing disability-related support services and procedures. Riddell,</w:t>
      </w:r>
      <w:r w:rsidR="00017651" w:rsidRPr="00350989">
        <w:t xml:space="preserve"> </w:t>
      </w:r>
      <w:proofErr w:type="spellStart"/>
      <w:r w:rsidR="00017651" w:rsidRPr="00350989">
        <w:t>T</w:t>
      </w:r>
      <w:r w:rsidRPr="00350989">
        <w:t>inklin</w:t>
      </w:r>
      <w:proofErr w:type="spellEnd"/>
      <w:r w:rsidRPr="00350989">
        <w:t xml:space="preserve"> and Wilson (2005)</w:t>
      </w:r>
      <w:r w:rsidRPr="00350989">
        <w:rPr>
          <w:rStyle w:val="FootnoteReference"/>
        </w:rPr>
        <w:footnoteReference w:id="89"/>
      </w:r>
      <w:r w:rsidRPr="00350989">
        <w:t xml:space="preserve"> explain the ways in which the latter tend to beneﬁt male, middle-class students with speciﬁc learning difﬁculties such as dyslexia, for example.</w:t>
      </w:r>
    </w:p>
    <w:p w14:paraId="511148A0" w14:textId="77777777" w:rsidR="00E33428" w:rsidRPr="00350989" w:rsidRDefault="00E33428" w:rsidP="000D7F61">
      <w:pPr>
        <w:spacing w:after="0"/>
      </w:pPr>
    </w:p>
    <w:p w14:paraId="1F1BF992" w14:textId="2D576E58" w:rsidR="0054550D" w:rsidRPr="00350989" w:rsidRDefault="00C55324" w:rsidP="00C55324">
      <w:pPr>
        <w:pStyle w:val="Heading2"/>
      </w:pPr>
      <w:bookmarkStart w:id="55" w:name="_Toc483409979"/>
      <w:r w:rsidRPr="00350989">
        <w:t>P</w:t>
      </w:r>
      <w:r w:rsidR="00894151" w:rsidRPr="00350989">
        <w:t xml:space="preserve">overty and </w:t>
      </w:r>
      <w:r w:rsidR="0054550D" w:rsidRPr="00350989">
        <w:t>social inclusion</w:t>
      </w:r>
      <w:bookmarkEnd w:id="55"/>
    </w:p>
    <w:p w14:paraId="0F42088B" w14:textId="77777777" w:rsidR="00511C69" w:rsidRPr="00350989" w:rsidRDefault="00511C69" w:rsidP="000D7F61">
      <w:pPr>
        <w:autoSpaceDE w:val="0"/>
        <w:autoSpaceDN w:val="0"/>
        <w:adjustRightInd w:val="0"/>
        <w:spacing w:after="0"/>
        <w:rPr>
          <w:b/>
          <w:lang w:eastAsia="en-GB"/>
        </w:rPr>
      </w:pPr>
    </w:p>
    <w:p w14:paraId="734E804E" w14:textId="77777777" w:rsidR="001E5282" w:rsidRPr="00350989" w:rsidRDefault="0054550D" w:rsidP="000D7F61">
      <w:pPr>
        <w:spacing w:after="0"/>
        <w:rPr>
          <w:lang w:eastAsia="en-GB"/>
        </w:rPr>
      </w:pPr>
      <w:r w:rsidRPr="00350989">
        <w:rPr>
          <w:lang w:eastAsia="en-GB"/>
        </w:rPr>
        <w:t>In general, b</w:t>
      </w:r>
      <w:r w:rsidR="001E5282" w:rsidRPr="00350989">
        <w:rPr>
          <w:lang w:eastAsia="en-GB"/>
        </w:rPr>
        <w:t xml:space="preserve">eyond rhetorical </w:t>
      </w:r>
      <w:r w:rsidR="00DC22DE" w:rsidRPr="00350989">
        <w:rPr>
          <w:lang w:eastAsia="en-GB"/>
        </w:rPr>
        <w:t>statements</w:t>
      </w:r>
      <w:r w:rsidR="001E5282" w:rsidRPr="00350989">
        <w:rPr>
          <w:lang w:eastAsia="en-GB"/>
        </w:rPr>
        <w:t>, national targets and disability action plans, it is important that countries provide systematic and reliable evidence-based information on the ways in which disability</w:t>
      </w:r>
      <w:r w:rsidR="00DC22DE" w:rsidRPr="00350989">
        <w:rPr>
          <w:lang w:eastAsia="en-GB"/>
        </w:rPr>
        <w:t xml:space="preserve"> </w:t>
      </w:r>
      <w:r w:rsidR="001E5282" w:rsidRPr="00350989">
        <w:rPr>
          <w:lang w:eastAsia="en-GB"/>
        </w:rPr>
        <w:t>rights initiatives are facilitated and implemented. Providing and constantly updating national data on disability needs to be pursued in more rigorous and consistent ways at European and national levels. Independent monitoring and reviewing</w:t>
      </w:r>
      <w:r w:rsidR="00DC22DE" w:rsidRPr="00350989">
        <w:rPr>
          <w:lang w:eastAsia="en-GB"/>
        </w:rPr>
        <w:t xml:space="preserve"> of</w:t>
      </w:r>
      <w:r w:rsidR="001E5282" w:rsidRPr="00350989">
        <w:rPr>
          <w:lang w:eastAsia="en-GB"/>
        </w:rPr>
        <w:t xml:space="preserve"> international and national bodies (e.g.</w:t>
      </w:r>
      <w:r w:rsidR="00DC22DE" w:rsidRPr="00350989">
        <w:rPr>
          <w:lang w:eastAsia="en-GB"/>
        </w:rPr>
        <w:t xml:space="preserve"> </w:t>
      </w:r>
      <w:r w:rsidR="001E5282" w:rsidRPr="00350989">
        <w:rPr>
          <w:lang w:eastAsia="en-GB"/>
        </w:rPr>
        <w:t>academic institutions)</w:t>
      </w:r>
      <w:r w:rsidR="00D21BD6" w:rsidRPr="00350989">
        <w:rPr>
          <w:lang w:eastAsia="en-GB"/>
        </w:rPr>
        <w:t>, additional to the Authority for the Promotion of the Rights of People with Disabilities (Ombudsman’s Office)</w:t>
      </w:r>
      <w:r w:rsidR="001E5282" w:rsidRPr="00350989">
        <w:rPr>
          <w:lang w:eastAsia="en-GB"/>
        </w:rPr>
        <w:t xml:space="preserve"> should be established so as to oversee planning and implementation strategies under the UNCRPD</w:t>
      </w:r>
      <w:r w:rsidR="00D21BD6" w:rsidRPr="00350989">
        <w:rPr>
          <w:lang w:eastAsia="en-GB"/>
        </w:rPr>
        <w:t>, which actually requires the involvement of a wide range of actors</w:t>
      </w:r>
      <w:r w:rsidR="001E5282" w:rsidRPr="00350989">
        <w:rPr>
          <w:lang w:eastAsia="en-GB"/>
        </w:rPr>
        <w:t xml:space="preserve">. </w:t>
      </w:r>
      <w:r w:rsidR="00DC22DE" w:rsidRPr="00350989">
        <w:rPr>
          <w:lang w:eastAsia="en-GB"/>
        </w:rPr>
        <w:t>At</w:t>
      </w:r>
      <w:r w:rsidR="001E5282" w:rsidRPr="00350989">
        <w:rPr>
          <w:lang w:eastAsia="en-GB"/>
        </w:rPr>
        <w:t xml:space="preserve"> present the competent </w:t>
      </w:r>
      <w:r w:rsidR="009E3AF3" w:rsidRPr="00350989">
        <w:rPr>
          <w:lang w:eastAsia="en-GB"/>
        </w:rPr>
        <w:t>focal point</w:t>
      </w:r>
      <w:r w:rsidR="001E5282" w:rsidRPr="00350989">
        <w:rPr>
          <w:lang w:eastAsia="en-GB"/>
        </w:rPr>
        <w:t xml:space="preserve"> is the Department of Social Inclusion for People with Disabilities, which </w:t>
      </w:r>
      <w:r w:rsidR="00DC22DE" w:rsidRPr="00350989">
        <w:rPr>
          <w:lang w:eastAsia="en-GB"/>
        </w:rPr>
        <w:t>takes on</w:t>
      </w:r>
      <w:r w:rsidR="001E5282" w:rsidRPr="00350989">
        <w:rPr>
          <w:lang w:eastAsia="en-GB"/>
        </w:rPr>
        <w:t xml:space="preserve"> any</w:t>
      </w:r>
      <w:r w:rsidR="00DC22DE" w:rsidRPr="00350989">
        <w:rPr>
          <w:lang w:eastAsia="en-GB"/>
        </w:rPr>
        <w:t xml:space="preserve"> matters</w:t>
      </w:r>
      <w:r w:rsidR="001E5282" w:rsidRPr="00350989">
        <w:rPr>
          <w:lang w:eastAsia="en-GB"/>
        </w:rPr>
        <w:t xml:space="preserve"> relevant to disability activity (e.g. ESF Monitoring and Evaluation). </w:t>
      </w:r>
      <w:r w:rsidR="00D21BD6" w:rsidRPr="00350989">
        <w:rPr>
          <w:lang w:eastAsia="en-GB"/>
        </w:rPr>
        <w:t xml:space="preserve">Nevertheless, the Department is also the policy maker and implementing body for disability related issues. </w:t>
      </w:r>
      <w:r w:rsidR="001E5282" w:rsidRPr="00350989">
        <w:rPr>
          <w:lang w:eastAsia="en-GB"/>
        </w:rPr>
        <w:t>As a result, no external feedback (and probably unbiased) is provided regarding issues of disability</w:t>
      </w:r>
      <w:r w:rsidR="00D21BD6" w:rsidRPr="00350989">
        <w:rPr>
          <w:lang w:eastAsia="en-GB"/>
        </w:rPr>
        <w:t>, other than the Authority for the Promotion of the Rights of People with Disabilities (Ombudsman’s Office), established in 2012</w:t>
      </w:r>
      <w:r w:rsidR="001E5282" w:rsidRPr="00350989">
        <w:rPr>
          <w:lang w:eastAsia="en-GB"/>
        </w:rPr>
        <w:t>.</w:t>
      </w:r>
      <w:r w:rsidRPr="00350989">
        <w:rPr>
          <w:lang w:eastAsia="en-GB"/>
        </w:rPr>
        <w:t xml:space="preserve"> Individual academic research is performed sporadically, but rarely taken into consideration by the governmental bodies. Hence, it is recommended that Monitoring bodies should collaborate and empowered by the presence of academia where wide range data can be collected from scientific independent research.</w:t>
      </w:r>
      <w:r w:rsidR="00D21BD6" w:rsidRPr="00350989">
        <w:rPr>
          <w:lang w:eastAsia="en-GB"/>
        </w:rPr>
        <w:t xml:space="preserve"> </w:t>
      </w:r>
    </w:p>
    <w:p w14:paraId="259D18F0" w14:textId="77777777" w:rsidR="00511C69" w:rsidRPr="00350989" w:rsidRDefault="00511C69" w:rsidP="000D7F61">
      <w:pPr>
        <w:spacing w:after="0"/>
        <w:rPr>
          <w:lang w:eastAsia="en-GB"/>
        </w:rPr>
      </w:pPr>
    </w:p>
    <w:p w14:paraId="16D2788C" w14:textId="41CF1696" w:rsidR="001E5282" w:rsidRPr="00350989" w:rsidRDefault="001E5282" w:rsidP="000D7F61">
      <w:pPr>
        <w:spacing w:after="0"/>
        <w:rPr>
          <w:color w:val="000000"/>
        </w:rPr>
      </w:pPr>
      <w:r w:rsidRPr="00350989">
        <w:rPr>
          <w:lang w:eastAsia="en-GB"/>
        </w:rPr>
        <w:t xml:space="preserve">For instance, National Reports on the Implementation of the Rights of People with </w:t>
      </w:r>
      <w:r w:rsidR="00375A13" w:rsidRPr="00350989">
        <w:rPr>
          <w:lang w:eastAsia="en-GB"/>
        </w:rPr>
        <w:t>D</w:t>
      </w:r>
      <w:r w:rsidRPr="00350989">
        <w:rPr>
          <w:lang w:eastAsia="en-GB"/>
        </w:rPr>
        <w:t>isabilit</w:t>
      </w:r>
      <w:r w:rsidR="00375A13" w:rsidRPr="00350989">
        <w:rPr>
          <w:lang w:eastAsia="en-GB"/>
        </w:rPr>
        <w:t>ies</w:t>
      </w:r>
      <w:r w:rsidRPr="00350989">
        <w:rPr>
          <w:lang w:eastAsia="en-GB"/>
        </w:rPr>
        <w:t xml:space="preserve"> should provide evidence-based data on the progress achieved so far. In spite of the fact that the</w:t>
      </w:r>
      <w:r w:rsidRPr="00350989">
        <w:rPr>
          <w:color w:val="000000"/>
        </w:rPr>
        <w:t xml:space="preserve"> First Report of Cyprus on the Implementation of the UNCRPD (Department for Social Inclusion of Persons with Disabilities/Ministry of </w:t>
      </w:r>
      <w:r w:rsidRPr="00350989">
        <w:rPr>
          <w:color w:val="000000"/>
        </w:rPr>
        <w:lastRenderedPageBreak/>
        <w:t xml:space="preserve">Labour and Social </w:t>
      </w:r>
      <w:r w:rsidRPr="00350989">
        <w:t>Insurance, 2013),  suggests that</w:t>
      </w:r>
      <w:r w:rsidRPr="00350989">
        <w:rPr>
          <w:color w:val="000000"/>
        </w:rPr>
        <w:t xml:space="preserve"> one of the strengths of the Cypriot socio-political context in relation to promoting and safeguarding disability rights is the existence of “a modern and powerful legal framework … for the protection and promotion of the rights of persons with disabilities, including general and specific laws in every aspect” (p. 3), a critical overview of the existing legislative and policy context suggest quite the opposite (see Liasidou 2014</w:t>
      </w:r>
      <w:r w:rsidR="007005A0" w:rsidRPr="00350989">
        <w:rPr>
          <w:color w:val="000000"/>
        </w:rPr>
        <w:t>b</w:t>
      </w:r>
      <w:r w:rsidRPr="00350989">
        <w:rPr>
          <w:color w:val="000000"/>
        </w:rPr>
        <w:t>)</w:t>
      </w:r>
      <w:r w:rsidR="00511C69" w:rsidRPr="00350989">
        <w:rPr>
          <w:color w:val="000000"/>
        </w:rPr>
        <w:t>.</w:t>
      </w:r>
      <w:r w:rsidR="007005A0" w:rsidRPr="00350989">
        <w:rPr>
          <w:rStyle w:val="FootnoteReference"/>
          <w:color w:val="000000"/>
        </w:rPr>
        <w:footnoteReference w:id="90"/>
      </w:r>
    </w:p>
    <w:p w14:paraId="40A23FE6" w14:textId="77777777" w:rsidR="00C256BC" w:rsidRPr="00350989" w:rsidRDefault="00C256BC" w:rsidP="000D7F61">
      <w:pPr>
        <w:spacing w:after="0"/>
        <w:rPr>
          <w:color w:val="000000"/>
        </w:rPr>
      </w:pPr>
    </w:p>
    <w:p w14:paraId="23673FAB" w14:textId="7A5CBC7C" w:rsidR="00E33428" w:rsidRPr="00350989" w:rsidRDefault="00E33428" w:rsidP="000D7F61">
      <w:pPr>
        <w:autoSpaceDE w:val="0"/>
        <w:autoSpaceDN w:val="0"/>
        <w:adjustRightInd w:val="0"/>
        <w:spacing w:after="0"/>
      </w:pPr>
      <w:r w:rsidRPr="00350989">
        <w:t>Greater transparency of data on disability necessitates establishing independent bodies in order to collect relevant data and monitor the formulation and implementation of disability action plans to give effect to national obligations under the UNCRPD. Even though The Republic of Cyprus ratified the UNCRPD in 2011 (Law of 2011, N.8 (III)/2011), progress has been questionable, despite instances of laudable rhetoric articulated in the First Report of Cyprus on the Implementation of the Right</w:t>
      </w:r>
      <w:r w:rsidR="00C256BC" w:rsidRPr="00350989">
        <w:t xml:space="preserve">s of people with Disabilities </w:t>
      </w:r>
      <w:r w:rsidRPr="00350989">
        <w:rPr>
          <w:color w:val="000000"/>
        </w:rPr>
        <w:t xml:space="preserve">(Department for Social Inclusion of Persons with Disabilities/Ministry of Labour and Social </w:t>
      </w:r>
      <w:r w:rsidRPr="00350989">
        <w:t>Insurance, 2013). Even though the professed intention of this Report is to document progress achieved so far in terms of the implementation of the CRPD, it has been criticised in relation to its promotion and safeguarding of disability rights (see Liasidou 2014).</w:t>
      </w:r>
      <w:r w:rsidRPr="00350989">
        <w:rPr>
          <w:rStyle w:val="FootnoteReference"/>
        </w:rPr>
        <w:footnoteReference w:id="91"/>
      </w:r>
    </w:p>
    <w:p w14:paraId="4B024E6C" w14:textId="77777777" w:rsidR="00E33428" w:rsidRPr="00350989" w:rsidRDefault="00E33428" w:rsidP="000D7F61">
      <w:pPr>
        <w:autoSpaceDE w:val="0"/>
        <w:autoSpaceDN w:val="0"/>
        <w:adjustRightInd w:val="0"/>
        <w:spacing w:after="0"/>
      </w:pPr>
    </w:p>
    <w:p w14:paraId="652018F8" w14:textId="253E1165" w:rsidR="0001722A" w:rsidRDefault="00E33428" w:rsidP="000D7F61">
      <w:pPr>
        <w:autoSpaceDE w:val="0"/>
        <w:autoSpaceDN w:val="0"/>
        <w:adjustRightInd w:val="0"/>
        <w:spacing w:after="0"/>
      </w:pPr>
      <w:r w:rsidRPr="00350989">
        <w:t>Given the above considerations, the EU should provide more detailed guidelines, harmonization criteria and should establish international and independent local monitoring bodies in order to enhance national accountability regimes on safeguarding disability rights in accordance with the stipulations of the UNCRPD. Simultaneously, there should be a more pronounced emphasis on reviewing and monitoring the ways in which EU structural funds are utilized in order to mobilize and enact reforms in light of the principles of the UNCRPD</w:t>
      </w:r>
      <w:r w:rsidR="00204049" w:rsidRPr="00350989">
        <w:t>.</w:t>
      </w:r>
      <w:r w:rsidRPr="00350989">
        <w:t xml:space="preserve"> </w:t>
      </w:r>
    </w:p>
    <w:p w14:paraId="362FB24D" w14:textId="77777777" w:rsidR="0001722A" w:rsidRDefault="0001722A">
      <w:pPr>
        <w:spacing w:after="0"/>
        <w:rPr>
          <w:rStyle w:val="Heading1Char"/>
        </w:rPr>
      </w:pPr>
      <w:r>
        <w:rPr>
          <w:rStyle w:val="Heading1Char"/>
        </w:rPr>
        <w:br w:type="page"/>
      </w:r>
    </w:p>
    <w:p w14:paraId="66BFD465" w14:textId="765D1BF2" w:rsidR="00350989" w:rsidRPr="001A4BE6" w:rsidRDefault="00350989" w:rsidP="001A4BE6">
      <w:pPr>
        <w:pStyle w:val="Heading1"/>
        <w:numPr>
          <w:ilvl w:val="0"/>
          <w:numId w:val="0"/>
        </w:numPr>
        <w:ind w:left="567" w:hanging="567"/>
      </w:pPr>
      <w:bookmarkStart w:id="56" w:name="_Toc483409980"/>
      <w:r w:rsidRPr="001A4BE6">
        <w:rPr>
          <w:rStyle w:val="Heading1Char"/>
          <w:b/>
        </w:rPr>
        <w:lastRenderedPageBreak/>
        <w:t>A</w:t>
      </w:r>
      <w:r w:rsidR="001A4BE6">
        <w:rPr>
          <w:rStyle w:val="Heading1Char"/>
          <w:b/>
        </w:rPr>
        <w:t>ppendix I</w:t>
      </w:r>
      <w:bookmarkEnd w:id="56"/>
      <w:r w:rsidRPr="001A4BE6">
        <w:rPr>
          <w:rStyle w:val="Heading1Char"/>
          <w:b/>
        </w:rPr>
        <w:t xml:space="preserve"> </w:t>
      </w:r>
    </w:p>
    <w:p w14:paraId="4465AC0C" w14:textId="77777777" w:rsidR="00350989" w:rsidRPr="001A4BE6" w:rsidRDefault="00350989" w:rsidP="001A4BE6">
      <w:pPr>
        <w:spacing w:after="0"/>
      </w:pPr>
    </w:p>
    <w:p w14:paraId="32877421" w14:textId="334DA2A7" w:rsidR="001E40DC" w:rsidRPr="001A4BE6" w:rsidRDefault="001E40DC" w:rsidP="001A4BE6">
      <w:pPr>
        <w:spacing w:after="0"/>
        <w:rPr>
          <w:b/>
        </w:rPr>
      </w:pPr>
      <w:r w:rsidRPr="001A4BE6">
        <w:rPr>
          <w:b/>
        </w:rPr>
        <w:t>Section 2.1.5: Alternative data on disability and tertiary education provided by the national expert</w:t>
      </w:r>
    </w:p>
    <w:p w14:paraId="117EE93D" w14:textId="77777777" w:rsidR="001E40DC" w:rsidRPr="00350989" w:rsidRDefault="001E40DC" w:rsidP="000D7F61">
      <w:pPr>
        <w:spacing w:after="0"/>
        <w:rPr>
          <w:b/>
        </w:rPr>
      </w:pPr>
    </w:p>
    <w:p w14:paraId="4CC67511" w14:textId="77777777" w:rsidR="001E40DC" w:rsidRPr="00350989" w:rsidRDefault="001E40DC" w:rsidP="000D7F61">
      <w:pPr>
        <w:spacing w:after="0"/>
        <w:rPr>
          <w:b/>
        </w:rPr>
      </w:pPr>
      <w:r w:rsidRPr="00350989">
        <w:rPr>
          <w:b/>
        </w:rPr>
        <w:t>Detailed data on students with disabilities in Cyprus Universities for the period of 2011-2015</w:t>
      </w:r>
    </w:p>
    <w:p w14:paraId="7485F7F2" w14:textId="77777777" w:rsidR="001E40DC" w:rsidRPr="00350989" w:rsidRDefault="001E40DC" w:rsidP="000D7F61">
      <w:pPr>
        <w:spacing w:after="0"/>
        <w:rPr>
          <w:b/>
        </w:rPr>
      </w:pPr>
    </w:p>
    <w:p w14:paraId="5285F8E6" w14:textId="77777777" w:rsidR="001E40DC" w:rsidRPr="00350989" w:rsidRDefault="001E40DC" w:rsidP="000D7F61">
      <w:pPr>
        <w:spacing w:after="0"/>
        <w:rPr>
          <w:b/>
        </w:rPr>
      </w:pPr>
      <w:r w:rsidRPr="00350989">
        <w:rPr>
          <w:b/>
        </w:rPr>
        <w:t xml:space="preserve">Table: Cyprus University of Technology – Students per disability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1"/>
        <w:gridCol w:w="997"/>
        <w:gridCol w:w="998"/>
        <w:gridCol w:w="997"/>
        <w:gridCol w:w="1087"/>
      </w:tblGrid>
      <w:tr w:rsidR="001E40DC" w:rsidRPr="00350989" w14:paraId="2BA5A5C3" w14:textId="77777777" w:rsidTr="0069684A">
        <w:trPr>
          <w:trHeight w:val="20"/>
        </w:trPr>
        <w:tc>
          <w:tcPr>
            <w:tcW w:w="2749" w:type="pct"/>
            <w:shd w:val="clear" w:color="auto" w:fill="auto"/>
            <w:noWrap/>
            <w:vAlign w:val="center"/>
            <w:hideMark/>
          </w:tcPr>
          <w:p w14:paraId="78AA5E4D" w14:textId="77777777" w:rsidR="001E40DC" w:rsidRPr="00350989" w:rsidRDefault="001E40DC" w:rsidP="000D7F61">
            <w:pPr>
              <w:spacing w:after="0"/>
              <w:rPr>
                <w:rFonts w:eastAsia="Times New Roman"/>
                <w:color w:val="212121"/>
                <w:sz w:val="20"/>
                <w:lang w:eastAsia="el-GR"/>
              </w:rPr>
            </w:pPr>
            <w:r w:rsidRPr="00350989">
              <w:rPr>
                <w:rFonts w:eastAsia="Times New Roman"/>
                <w:b/>
                <w:bCs/>
                <w:color w:val="000000"/>
                <w:sz w:val="20"/>
                <w:lang w:eastAsia="el-GR"/>
              </w:rPr>
              <w:t> </w:t>
            </w:r>
          </w:p>
        </w:tc>
        <w:tc>
          <w:tcPr>
            <w:tcW w:w="550" w:type="pct"/>
            <w:shd w:val="clear" w:color="auto" w:fill="auto"/>
            <w:noWrap/>
            <w:vAlign w:val="center"/>
            <w:hideMark/>
          </w:tcPr>
          <w:p w14:paraId="3AF0AC81" w14:textId="77777777" w:rsidR="001E40DC" w:rsidRPr="00350989" w:rsidRDefault="001E40DC" w:rsidP="000D7F61">
            <w:pPr>
              <w:spacing w:after="0"/>
              <w:rPr>
                <w:rFonts w:eastAsia="Times New Roman"/>
                <w:color w:val="212121"/>
                <w:sz w:val="20"/>
                <w:lang w:eastAsia="el-GR"/>
              </w:rPr>
            </w:pPr>
            <w:r w:rsidRPr="00350989">
              <w:rPr>
                <w:rFonts w:eastAsia="Times New Roman"/>
                <w:b/>
                <w:bCs/>
                <w:color w:val="000000"/>
                <w:sz w:val="20"/>
                <w:lang w:eastAsia="el-GR"/>
              </w:rPr>
              <w:t>2011-12</w:t>
            </w:r>
          </w:p>
        </w:tc>
        <w:tc>
          <w:tcPr>
            <w:tcW w:w="551" w:type="pct"/>
            <w:shd w:val="clear" w:color="auto" w:fill="auto"/>
            <w:noWrap/>
            <w:vAlign w:val="center"/>
            <w:hideMark/>
          </w:tcPr>
          <w:p w14:paraId="3E16A682" w14:textId="77777777" w:rsidR="001E40DC" w:rsidRPr="00350989" w:rsidRDefault="001E40DC" w:rsidP="000D7F61">
            <w:pPr>
              <w:spacing w:after="0"/>
              <w:rPr>
                <w:rFonts w:eastAsia="Times New Roman"/>
                <w:color w:val="212121"/>
                <w:sz w:val="20"/>
                <w:lang w:eastAsia="el-GR"/>
              </w:rPr>
            </w:pPr>
            <w:r w:rsidRPr="00350989">
              <w:rPr>
                <w:rFonts w:eastAsia="Times New Roman"/>
                <w:b/>
                <w:bCs/>
                <w:color w:val="000000"/>
                <w:sz w:val="20"/>
                <w:lang w:eastAsia="el-GR"/>
              </w:rPr>
              <w:t>2012-13</w:t>
            </w:r>
          </w:p>
        </w:tc>
        <w:tc>
          <w:tcPr>
            <w:tcW w:w="550" w:type="pct"/>
            <w:shd w:val="clear" w:color="auto" w:fill="auto"/>
            <w:noWrap/>
            <w:vAlign w:val="center"/>
            <w:hideMark/>
          </w:tcPr>
          <w:p w14:paraId="05FE944F" w14:textId="77777777" w:rsidR="001E40DC" w:rsidRPr="00350989" w:rsidRDefault="001E40DC" w:rsidP="000D7F61">
            <w:pPr>
              <w:spacing w:after="0"/>
              <w:rPr>
                <w:rFonts w:eastAsia="Times New Roman"/>
                <w:color w:val="212121"/>
                <w:sz w:val="20"/>
                <w:lang w:eastAsia="el-GR"/>
              </w:rPr>
            </w:pPr>
            <w:r w:rsidRPr="00350989">
              <w:rPr>
                <w:rFonts w:eastAsia="Times New Roman"/>
                <w:b/>
                <w:bCs/>
                <w:color w:val="000000"/>
                <w:sz w:val="20"/>
                <w:lang w:eastAsia="el-GR"/>
              </w:rPr>
              <w:t>2013-14</w:t>
            </w:r>
          </w:p>
        </w:tc>
        <w:tc>
          <w:tcPr>
            <w:tcW w:w="600" w:type="pct"/>
            <w:shd w:val="clear" w:color="auto" w:fill="auto"/>
            <w:noWrap/>
            <w:vAlign w:val="center"/>
            <w:hideMark/>
          </w:tcPr>
          <w:p w14:paraId="128C4E54" w14:textId="77777777" w:rsidR="001E40DC" w:rsidRPr="00350989" w:rsidRDefault="001E40DC" w:rsidP="000D7F61">
            <w:pPr>
              <w:spacing w:after="0"/>
              <w:rPr>
                <w:rFonts w:eastAsia="Times New Roman"/>
                <w:color w:val="212121"/>
                <w:sz w:val="20"/>
                <w:lang w:eastAsia="el-GR"/>
              </w:rPr>
            </w:pPr>
            <w:r w:rsidRPr="00350989">
              <w:rPr>
                <w:rFonts w:eastAsia="Times New Roman"/>
                <w:b/>
                <w:bCs/>
                <w:color w:val="000000"/>
                <w:sz w:val="20"/>
                <w:lang w:eastAsia="el-GR"/>
              </w:rPr>
              <w:t>2014-15</w:t>
            </w:r>
          </w:p>
        </w:tc>
      </w:tr>
      <w:tr w:rsidR="009672E6" w:rsidRPr="00350989" w14:paraId="0D31D3F2" w14:textId="77777777" w:rsidTr="0069684A">
        <w:trPr>
          <w:trHeight w:val="20"/>
        </w:trPr>
        <w:tc>
          <w:tcPr>
            <w:tcW w:w="2749" w:type="pct"/>
            <w:shd w:val="clear" w:color="auto" w:fill="auto"/>
            <w:noWrap/>
            <w:vAlign w:val="center"/>
            <w:hideMark/>
          </w:tcPr>
          <w:p w14:paraId="0CD4FAFE" w14:textId="77777777" w:rsidR="001E40DC" w:rsidRPr="00350989" w:rsidRDefault="001E40DC" w:rsidP="000D7F61">
            <w:pPr>
              <w:spacing w:after="0"/>
              <w:rPr>
                <w:color w:val="212121"/>
                <w:sz w:val="20"/>
              </w:rPr>
            </w:pPr>
            <w:r w:rsidRPr="00350989">
              <w:rPr>
                <w:color w:val="000000"/>
                <w:sz w:val="20"/>
              </w:rPr>
              <w:t>Hearing Impairment</w:t>
            </w:r>
          </w:p>
        </w:tc>
        <w:tc>
          <w:tcPr>
            <w:tcW w:w="550" w:type="pct"/>
            <w:shd w:val="clear" w:color="auto" w:fill="auto"/>
            <w:noWrap/>
            <w:vAlign w:val="center"/>
            <w:hideMark/>
          </w:tcPr>
          <w:p w14:paraId="61AD8AE2" w14:textId="77777777" w:rsidR="001E40DC" w:rsidRPr="00350989" w:rsidRDefault="001E40DC" w:rsidP="000D7F61">
            <w:pPr>
              <w:spacing w:after="0"/>
              <w:rPr>
                <w:color w:val="000000"/>
                <w:sz w:val="20"/>
              </w:rPr>
            </w:pPr>
            <w:r w:rsidRPr="00350989">
              <w:rPr>
                <w:color w:val="000000"/>
                <w:sz w:val="20"/>
              </w:rPr>
              <w:t>9</w:t>
            </w:r>
          </w:p>
        </w:tc>
        <w:tc>
          <w:tcPr>
            <w:tcW w:w="551" w:type="pct"/>
            <w:shd w:val="clear" w:color="auto" w:fill="auto"/>
            <w:noWrap/>
            <w:vAlign w:val="center"/>
            <w:hideMark/>
          </w:tcPr>
          <w:p w14:paraId="59B5EB2C" w14:textId="77777777" w:rsidR="001E40DC" w:rsidRPr="00350989" w:rsidRDefault="001E40DC" w:rsidP="000D7F61">
            <w:pPr>
              <w:spacing w:after="0"/>
              <w:rPr>
                <w:color w:val="000000"/>
                <w:sz w:val="20"/>
              </w:rPr>
            </w:pPr>
            <w:r w:rsidRPr="00350989">
              <w:rPr>
                <w:color w:val="000000"/>
                <w:sz w:val="20"/>
              </w:rPr>
              <w:t>7</w:t>
            </w:r>
          </w:p>
        </w:tc>
        <w:tc>
          <w:tcPr>
            <w:tcW w:w="550" w:type="pct"/>
            <w:shd w:val="clear" w:color="auto" w:fill="auto"/>
            <w:noWrap/>
            <w:vAlign w:val="center"/>
            <w:hideMark/>
          </w:tcPr>
          <w:p w14:paraId="330BE67B" w14:textId="77777777" w:rsidR="001E40DC" w:rsidRPr="00350989" w:rsidRDefault="001E40DC" w:rsidP="000D7F61">
            <w:pPr>
              <w:spacing w:after="0"/>
              <w:rPr>
                <w:color w:val="000000"/>
                <w:sz w:val="20"/>
              </w:rPr>
            </w:pPr>
            <w:r w:rsidRPr="00350989">
              <w:rPr>
                <w:color w:val="000000"/>
                <w:sz w:val="20"/>
              </w:rPr>
              <w:t>7</w:t>
            </w:r>
          </w:p>
        </w:tc>
        <w:tc>
          <w:tcPr>
            <w:tcW w:w="600" w:type="pct"/>
            <w:shd w:val="clear" w:color="auto" w:fill="auto"/>
            <w:noWrap/>
            <w:vAlign w:val="center"/>
            <w:hideMark/>
          </w:tcPr>
          <w:p w14:paraId="6A95BAF2" w14:textId="77777777" w:rsidR="001E40DC" w:rsidRPr="00350989" w:rsidRDefault="001E40DC" w:rsidP="000D7F61">
            <w:pPr>
              <w:spacing w:after="0"/>
              <w:rPr>
                <w:color w:val="000000"/>
                <w:sz w:val="20"/>
              </w:rPr>
            </w:pPr>
          </w:p>
        </w:tc>
      </w:tr>
      <w:tr w:rsidR="009672E6" w:rsidRPr="00350989" w14:paraId="27E58CB3" w14:textId="77777777" w:rsidTr="0069684A">
        <w:trPr>
          <w:trHeight w:val="20"/>
        </w:trPr>
        <w:tc>
          <w:tcPr>
            <w:tcW w:w="2749" w:type="pct"/>
            <w:shd w:val="clear" w:color="auto" w:fill="auto"/>
            <w:noWrap/>
            <w:vAlign w:val="center"/>
            <w:hideMark/>
          </w:tcPr>
          <w:p w14:paraId="4B9CB252" w14:textId="77777777" w:rsidR="001E40DC" w:rsidRPr="00350989" w:rsidRDefault="001E40DC" w:rsidP="000D7F61">
            <w:pPr>
              <w:spacing w:after="0"/>
              <w:rPr>
                <w:color w:val="000000"/>
                <w:sz w:val="20"/>
              </w:rPr>
            </w:pPr>
            <w:r w:rsidRPr="00350989">
              <w:rPr>
                <w:color w:val="000000"/>
                <w:sz w:val="20"/>
              </w:rPr>
              <w:t>Visual Impairment</w:t>
            </w:r>
          </w:p>
        </w:tc>
        <w:tc>
          <w:tcPr>
            <w:tcW w:w="550" w:type="pct"/>
            <w:shd w:val="clear" w:color="auto" w:fill="auto"/>
            <w:noWrap/>
            <w:vAlign w:val="center"/>
            <w:hideMark/>
          </w:tcPr>
          <w:p w14:paraId="5571D199" w14:textId="77777777" w:rsidR="001E40DC" w:rsidRPr="00350989" w:rsidRDefault="001E40DC" w:rsidP="000D7F61">
            <w:pPr>
              <w:spacing w:after="0"/>
              <w:rPr>
                <w:color w:val="000000"/>
                <w:sz w:val="20"/>
              </w:rPr>
            </w:pPr>
            <w:r w:rsidRPr="00350989">
              <w:rPr>
                <w:color w:val="000000"/>
                <w:sz w:val="20"/>
              </w:rPr>
              <w:t>4</w:t>
            </w:r>
          </w:p>
        </w:tc>
        <w:tc>
          <w:tcPr>
            <w:tcW w:w="551" w:type="pct"/>
            <w:shd w:val="clear" w:color="auto" w:fill="auto"/>
            <w:noWrap/>
            <w:vAlign w:val="center"/>
            <w:hideMark/>
          </w:tcPr>
          <w:p w14:paraId="0A82C44F" w14:textId="77777777" w:rsidR="001E40DC" w:rsidRPr="00350989" w:rsidRDefault="001E40DC" w:rsidP="000D7F61">
            <w:pPr>
              <w:spacing w:after="0"/>
              <w:rPr>
                <w:color w:val="000000"/>
                <w:sz w:val="20"/>
              </w:rPr>
            </w:pPr>
            <w:r w:rsidRPr="00350989">
              <w:rPr>
                <w:color w:val="000000"/>
                <w:sz w:val="20"/>
              </w:rPr>
              <w:t>4</w:t>
            </w:r>
          </w:p>
        </w:tc>
        <w:tc>
          <w:tcPr>
            <w:tcW w:w="550" w:type="pct"/>
            <w:shd w:val="clear" w:color="auto" w:fill="auto"/>
            <w:noWrap/>
            <w:vAlign w:val="center"/>
            <w:hideMark/>
          </w:tcPr>
          <w:p w14:paraId="55B1C97D" w14:textId="77777777" w:rsidR="001E40DC" w:rsidRPr="00350989" w:rsidRDefault="001E40DC" w:rsidP="000D7F61">
            <w:pPr>
              <w:spacing w:after="0"/>
              <w:rPr>
                <w:color w:val="000000"/>
                <w:sz w:val="20"/>
              </w:rPr>
            </w:pPr>
            <w:r w:rsidRPr="00350989">
              <w:rPr>
                <w:color w:val="000000"/>
                <w:sz w:val="20"/>
              </w:rPr>
              <w:t>4</w:t>
            </w:r>
          </w:p>
        </w:tc>
        <w:tc>
          <w:tcPr>
            <w:tcW w:w="600" w:type="pct"/>
            <w:shd w:val="clear" w:color="auto" w:fill="auto"/>
            <w:noWrap/>
            <w:vAlign w:val="center"/>
            <w:hideMark/>
          </w:tcPr>
          <w:p w14:paraId="208BA27E" w14:textId="77777777" w:rsidR="001E40DC" w:rsidRPr="00350989" w:rsidRDefault="001E40DC" w:rsidP="000D7F61">
            <w:pPr>
              <w:spacing w:after="0"/>
              <w:rPr>
                <w:color w:val="000000"/>
                <w:sz w:val="20"/>
              </w:rPr>
            </w:pPr>
          </w:p>
        </w:tc>
      </w:tr>
      <w:tr w:rsidR="009672E6" w:rsidRPr="00350989" w14:paraId="3AB9E233" w14:textId="77777777" w:rsidTr="0069684A">
        <w:trPr>
          <w:trHeight w:val="20"/>
        </w:trPr>
        <w:tc>
          <w:tcPr>
            <w:tcW w:w="2749" w:type="pct"/>
            <w:shd w:val="clear" w:color="auto" w:fill="auto"/>
            <w:noWrap/>
            <w:vAlign w:val="center"/>
            <w:hideMark/>
          </w:tcPr>
          <w:p w14:paraId="2C536919" w14:textId="77777777" w:rsidR="001E40DC" w:rsidRPr="00350989" w:rsidRDefault="001E40DC" w:rsidP="000D7F61">
            <w:pPr>
              <w:spacing w:after="0"/>
              <w:rPr>
                <w:color w:val="000000"/>
                <w:sz w:val="20"/>
              </w:rPr>
            </w:pPr>
            <w:r w:rsidRPr="00350989">
              <w:rPr>
                <w:color w:val="000000"/>
                <w:sz w:val="20"/>
              </w:rPr>
              <w:t>Learning Disabilities</w:t>
            </w:r>
          </w:p>
        </w:tc>
        <w:tc>
          <w:tcPr>
            <w:tcW w:w="550" w:type="pct"/>
            <w:shd w:val="clear" w:color="auto" w:fill="auto"/>
            <w:noWrap/>
            <w:vAlign w:val="center"/>
            <w:hideMark/>
          </w:tcPr>
          <w:p w14:paraId="16F3B528" w14:textId="77777777" w:rsidR="001E40DC" w:rsidRPr="00350989" w:rsidRDefault="001E40DC" w:rsidP="000D7F61">
            <w:pPr>
              <w:spacing w:after="0"/>
              <w:rPr>
                <w:color w:val="000000"/>
                <w:sz w:val="20"/>
              </w:rPr>
            </w:pPr>
            <w:r w:rsidRPr="00350989">
              <w:rPr>
                <w:color w:val="000000"/>
                <w:sz w:val="20"/>
              </w:rPr>
              <w:t>31</w:t>
            </w:r>
          </w:p>
        </w:tc>
        <w:tc>
          <w:tcPr>
            <w:tcW w:w="551" w:type="pct"/>
            <w:shd w:val="clear" w:color="auto" w:fill="auto"/>
            <w:noWrap/>
            <w:vAlign w:val="center"/>
            <w:hideMark/>
          </w:tcPr>
          <w:p w14:paraId="1E79878A" w14:textId="77777777" w:rsidR="001E40DC" w:rsidRPr="00350989" w:rsidRDefault="001E40DC" w:rsidP="000D7F61">
            <w:pPr>
              <w:spacing w:after="0"/>
              <w:rPr>
                <w:color w:val="000000"/>
                <w:sz w:val="20"/>
              </w:rPr>
            </w:pPr>
            <w:r w:rsidRPr="00350989">
              <w:rPr>
                <w:color w:val="000000"/>
                <w:sz w:val="20"/>
              </w:rPr>
              <w:t>33</w:t>
            </w:r>
          </w:p>
        </w:tc>
        <w:tc>
          <w:tcPr>
            <w:tcW w:w="550" w:type="pct"/>
            <w:shd w:val="clear" w:color="auto" w:fill="auto"/>
            <w:noWrap/>
            <w:vAlign w:val="center"/>
            <w:hideMark/>
          </w:tcPr>
          <w:p w14:paraId="375181F7" w14:textId="77777777" w:rsidR="001E40DC" w:rsidRPr="00350989" w:rsidRDefault="001E40DC" w:rsidP="000D7F61">
            <w:pPr>
              <w:spacing w:after="0"/>
              <w:rPr>
                <w:color w:val="000000"/>
                <w:sz w:val="20"/>
              </w:rPr>
            </w:pPr>
            <w:r w:rsidRPr="00350989">
              <w:rPr>
                <w:color w:val="000000"/>
                <w:sz w:val="20"/>
              </w:rPr>
              <w:t>37</w:t>
            </w:r>
          </w:p>
        </w:tc>
        <w:tc>
          <w:tcPr>
            <w:tcW w:w="600" w:type="pct"/>
            <w:shd w:val="clear" w:color="auto" w:fill="auto"/>
            <w:noWrap/>
            <w:vAlign w:val="center"/>
            <w:hideMark/>
          </w:tcPr>
          <w:p w14:paraId="4CF3A97C" w14:textId="77777777" w:rsidR="001E40DC" w:rsidRPr="00350989" w:rsidRDefault="001E40DC" w:rsidP="000D7F61">
            <w:pPr>
              <w:spacing w:after="0"/>
              <w:rPr>
                <w:color w:val="000000"/>
                <w:sz w:val="20"/>
              </w:rPr>
            </w:pPr>
          </w:p>
        </w:tc>
      </w:tr>
      <w:tr w:rsidR="009672E6" w:rsidRPr="00350989" w14:paraId="1FD1F0F5" w14:textId="77777777" w:rsidTr="0069684A">
        <w:trPr>
          <w:trHeight w:val="20"/>
        </w:trPr>
        <w:tc>
          <w:tcPr>
            <w:tcW w:w="2749" w:type="pct"/>
            <w:shd w:val="clear" w:color="auto" w:fill="auto"/>
            <w:noWrap/>
            <w:vAlign w:val="center"/>
            <w:hideMark/>
          </w:tcPr>
          <w:p w14:paraId="08278470" w14:textId="77777777" w:rsidR="001E40DC" w:rsidRPr="00350989" w:rsidRDefault="001E40DC" w:rsidP="000D7F61">
            <w:pPr>
              <w:spacing w:after="0"/>
              <w:rPr>
                <w:color w:val="000000"/>
                <w:sz w:val="20"/>
              </w:rPr>
            </w:pPr>
            <w:r w:rsidRPr="00350989">
              <w:rPr>
                <w:color w:val="000000"/>
                <w:sz w:val="20"/>
              </w:rPr>
              <w:t>Epilepsy</w:t>
            </w:r>
          </w:p>
        </w:tc>
        <w:tc>
          <w:tcPr>
            <w:tcW w:w="550" w:type="pct"/>
            <w:shd w:val="clear" w:color="auto" w:fill="auto"/>
            <w:noWrap/>
            <w:vAlign w:val="center"/>
            <w:hideMark/>
          </w:tcPr>
          <w:p w14:paraId="6F108238" w14:textId="77777777" w:rsidR="001E40DC" w:rsidRPr="00350989" w:rsidRDefault="001E40DC" w:rsidP="000D7F61">
            <w:pPr>
              <w:spacing w:after="0"/>
              <w:rPr>
                <w:color w:val="000000"/>
                <w:sz w:val="20"/>
              </w:rPr>
            </w:pPr>
            <w:r w:rsidRPr="00350989">
              <w:rPr>
                <w:color w:val="000000"/>
                <w:sz w:val="20"/>
              </w:rPr>
              <w:t>1</w:t>
            </w:r>
          </w:p>
        </w:tc>
        <w:tc>
          <w:tcPr>
            <w:tcW w:w="551" w:type="pct"/>
            <w:shd w:val="clear" w:color="auto" w:fill="auto"/>
            <w:noWrap/>
            <w:vAlign w:val="center"/>
            <w:hideMark/>
          </w:tcPr>
          <w:p w14:paraId="67608DC3" w14:textId="77777777" w:rsidR="001E40DC" w:rsidRPr="00350989" w:rsidRDefault="001E40DC" w:rsidP="000D7F61">
            <w:pPr>
              <w:spacing w:after="0"/>
              <w:rPr>
                <w:color w:val="000000"/>
                <w:sz w:val="20"/>
              </w:rPr>
            </w:pPr>
            <w:r w:rsidRPr="00350989">
              <w:rPr>
                <w:color w:val="000000"/>
                <w:sz w:val="20"/>
              </w:rPr>
              <w:t>1</w:t>
            </w:r>
          </w:p>
        </w:tc>
        <w:tc>
          <w:tcPr>
            <w:tcW w:w="550" w:type="pct"/>
            <w:shd w:val="clear" w:color="auto" w:fill="auto"/>
            <w:noWrap/>
            <w:vAlign w:val="center"/>
            <w:hideMark/>
          </w:tcPr>
          <w:p w14:paraId="7E2B4F92" w14:textId="77777777" w:rsidR="001E40DC" w:rsidRPr="00350989" w:rsidRDefault="001E40DC" w:rsidP="000D7F61">
            <w:pPr>
              <w:spacing w:after="0"/>
              <w:rPr>
                <w:color w:val="000000"/>
                <w:sz w:val="20"/>
              </w:rPr>
            </w:pPr>
            <w:r w:rsidRPr="00350989">
              <w:rPr>
                <w:color w:val="000000"/>
                <w:sz w:val="20"/>
              </w:rPr>
              <w:t>0</w:t>
            </w:r>
          </w:p>
        </w:tc>
        <w:tc>
          <w:tcPr>
            <w:tcW w:w="600" w:type="pct"/>
            <w:shd w:val="clear" w:color="auto" w:fill="auto"/>
            <w:noWrap/>
            <w:vAlign w:val="center"/>
            <w:hideMark/>
          </w:tcPr>
          <w:p w14:paraId="5E989D28" w14:textId="77777777" w:rsidR="001E40DC" w:rsidRPr="00350989" w:rsidRDefault="001E40DC" w:rsidP="000D7F61">
            <w:pPr>
              <w:spacing w:after="0"/>
              <w:rPr>
                <w:color w:val="000000"/>
                <w:sz w:val="20"/>
              </w:rPr>
            </w:pPr>
          </w:p>
        </w:tc>
      </w:tr>
      <w:tr w:rsidR="009672E6" w:rsidRPr="00350989" w14:paraId="19A65AA7" w14:textId="77777777" w:rsidTr="0069684A">
        <w:trPr>
          <w:trHeight w:val="20"/>
        </w:trPr>
        <w:tc>
          <w:tcPr>
            <w:tcW w:w="2749" w:type="pct"/>
            <w:shd w:val="clear" w:color="auto" w:fill="auto"/>
            <w:noWrap/>
            <w:vAlign w:val="center"/>
            <w:hideMark/>
          </w:tcPr>
          <w:p w14:paraId="5415B048" w14:textId="77777777" w:rsidR="001E40DC" w:rsidRPr="00350989" w:rsidRDefault="001E40DC" w:rsidP="000D7F61">
            <w:pPr>
              <w:spacing w:after="0"/>
              <w:rPr>
                <w:color w:val="000000"/>
                <w:sz w:val="20"/>
              </w:rPr>
            </w:pPr>
            <w:r w:rsidRPr="00350989">
              <w:rPr>
                <w:color w:val="000000"/>
                <w:sz w:val="20"/>
              </w:rPr>
              <w:t>Health Issues (</w:t>
            </w:r>
            <w:proofErr w:type="spellStart"/>
            <w:r w:rsidRPr="00350989">
              <w:rPr>
                <w:color w:val="000000"/>
                <w:sz w:val="20"/>
              </w:rPr>
              <w:t>incl</w:t>
            </w:r>
            <w:proofErr w:type="spellEnd"/>
            <w:r w:rsidRPr="00350989">
              <w:rPr>
                <w:color w:val="000000"/>
                <w:sz w:val="20"/>
              </w:rPr>
              <w:t xml:space="preserve"> diabetes, cardio, cancer, other pathological issues)</w:t>
            </w:r>
          </w:p>
        </w:tc>
        <w:tc>
          <w:tcPr>
            <w:tcW w:w="550" w:type="pct"/>
            <w:shd w:val="clear" w:color="auto" w:fill="auto"/>
            <w:noWrap/>
            <w:vAlign w:val="center"/>
            <w:hideMark/>
          </w:tcPr>
          <w:p w14:paraId="5F18ACB8" w14:textId="77777777" w:rsidR="001E40DC" w:rsidRPr="00350989" w:rsidRDefault="001E40DC" w:rsidP="000D7F61">
            <w:pPr>
              <w:spacing w:after="0"/>
              <w:rPr>
                <w:color w:val="000000"/>
                <w:sz w:val="20"/>
              </w:rPr>
            </w:pPr>
            <w:r w:rsidRPr="00350989">
              <w:rPr>
                <w:color w:val="000000"/>
                <w:sz w:val="20"/>
              </w:rPr>
              <w:t>20</w:t>
            </w:r>
          </w:p>
        </w:tc>
        <w:tc>
          <w:tcPr>
            <w:tcW w:w="551" w:type="pct"/>
            <w:shd w:val="clear" w:color="auto" w:fill="auto"/>
            <w:noWrap/>
            <w:vAlign w:val="center"/>
            <w:hideMark/>
          </w:tcPr>
          <w:p w14:paraId="50A704A1" w14:textId="77777777" w:rsidR="001E40DC" w:rsidRPr="00350989" w:rsidRDefault="001E40DC" w:rsidP="000D7F61">
            <w:pPr>
              <w:spacing w:after="0"/>
              <w:rPr>
                <w:color w:val="000000"/>
                <w:sz w:val="20"/>
              </w:rPr>
            </w:pPr>
            <w:r w:rsidRPr="00350989">
              <w:rPr>
                <w:color w:val="000000"/>
                <w:sz w:val="20"/>
              </w:rPr>
              <w:t>28</w:t>
            </w:r>
          </w:p>
        </w:tc>
        <w:tc>
          <w:tcPr>
            <w:tcW w:w="550" w:type="pct"/>
            <w:shd w:val="clear" w:color="auto" w:fill="auto"/>
            <w:noWrap/>
            <w:vAlign w:val="center"/>
            <w:hideMark/>
          </w:tcPr>
          <w:p w14:paraId="32698302" w14:textId="77777777" w:rsidR="001E40DC" w:rsidRPr="00350989" w:rsidRDefault="001E40DC" w:rsidP="000D7F61">
            <w:pPr>
              <w:spacing w:after="0"/>
              <w:rPr>
                <w:color w:val="000000"/>
                <w:sz w:val="20"/>
              </w:rPr>
            </w:pPr>
            <w:r w:rsidRPr="00350989">
              <w:rPr>
                <w:color w:val="000000"/>
                <w:sz w:val="20"/>
              </w:rPr>
              <w:t>33</w:t>
            </w:r>
          </w:p>
        </w:tc>
        <w:tc>
          <w:tcPr>
            <w:tcW w:w="600" w:type="pct"/>
            <w:shd w:val="clear" w:color="auto" w:fill="auto"/>
            <w:noWrap/>
            <w:vAlign w:val="center"/>
            <w:hideMark/>
          </w:tcPr>
          <w:p w14:paraId="14D3BA7F" w14:textId="77777777" w:rsidR="001E40DC" w:rsidRPr="00350989" w:rsidRDefault="001E40DC" w:rsidP="000D7F61">
            <w:pPr>
              <w:spacing w:after="0"/>
              <w:rPr>
                <w:color w:val="000000"/>
                <w:sz w:val="20"/>
              </w:rPr>
            </w:pPr>
          </w:p>
        </w:tc>
      </w:tr>
      <w:tr w:rsidR="009672E6" w:rsidRPr="00350989" w14:paraId="62CBC774" w14:textId="77777777" w:rsidTr="0069684A">
        <w:trPr>
          <w:trHeight w:val="20"/>
        </w:trPr>
        <w:tc>
          <w:tcPr>
            <w:tcW w:w="2749" w:type="pct"/>
            <w:shd w:val="clear" w:color="auto" w:fill="auto"/>
            <w:noWrap/>
            <w:vAlign w:val="center"/>
            <w:hideMark/>
          </w:tcPr>
          <w:p w14:paraId="1DF07B35" w14:textId="77777777" w:rsidR="001E40DC" w:rsidRPr="00350989" w:rsidRDefault="001E40DC" w:rsidP="000D7F61">
            <w:pPr>
              <w:spacing w:after="0"/>
              <w:rPr>
                <w:color w:val="000000"/>
                <w:sz w:val="20"/>
              </w:rPr>
            </w:pPr>
            <w:r w:rsidRPr="00350989">
              <w:rPr>
                <w:color w:val="000000"/>
                <w:sz w:val="20"/>
              </w:rPr>
              <w:t>Muscular Disabilities</w:t>
            </w:r>
          </w:p>
        </w:tc>
        <w:tc>
          <w:tcPr>
            <w:tcW w:w="550" w:type="pct"/>
            <w:shd w:val="clear" w:color="auto" w:fill="auto"/>
            <w:noWrap/>
            <w:vAlign w:val="center"/>
            <w:hideMark/>
          </w:tcPr>
          <w:p w14:paraId="2DB35F1F" w14:textId="77777777" w:rsidR="001E40DC" w:rsidRPr="00350989" w:rsidRDefault="001E40DC" w:rsidP="000D7F61">
            <w:pPr>
              <w:spacing w:after="0"/>
              <w:rPr>
                <w:color w:val="000000"/>
                <w:sz w:val="20"/>
              </w:rPr>
            </w:pPr>
            <w:r w:rsidRPr="00350989">
              <w:rPr>
                <w:color w:val="000000"/>
                <w:sz w:val="20"/>
              </w:rPr>
              <w:t>2</w:t>
            </w:r>
          </w:p>
        </w:tc>
        <w:tc>
          <w:tcPr>
            <w:tcW w:w="551" w:type="pct"/>
            <w:shd w:val="clear" w:color="auto" w:fill="auto"/>
            <w:noWrap/>
            <w:vAlign w:val="center"/>
            <w:hideMark/>
          </w:tcPr>
          <w:p w14:paraId="5554EAF2" w14:textId="77777777" w:rsidR="001E40DC" w:rsidRPr="00350989" w:rsidRDefault="001E40DC" w:rsidP="000D7F61">
            <w:pPr>
              <w:spacing w:after="0"/>
              <w:rPr>
                <w:color w:val="000000"/>
                <w:sz w:val="20"/>
              </w:rPr>
            </w:pPr>
            <w:r w:rsidRPr="00350989">
              <w:rPr>
                <w:color w:val="000000"/>
                <w:sz w:val="20"/>
              </w:rPr>
              <w:t>3</w:t>
            </w:r>
          </w:p>
        </w:tc>
        <w:tc>
          <w:tcPr>
            <w:tcW w:w="550" w:type="pct"/>
            <w:shd w:val="clear" w:color="auto" w:fill="auto"/>
            <w:noWrap/>
            <w:vAlign w:val="center"/>
            <w:hideMark/>
          </w:tcPr>
          <w:p w14:paraId="35C63914" w14:textId="77777777" w:rsidR="001E40DC" w:rsidRPr="00350989" w:rsidRDefault="001E40DC" w:rsidP="000D7F61">
            <w:pPr>
              <w:spacing w:after="0"/>
              <w:rPr>
                <w:color w:val="000000"/>
                <w:sz w:val="20"/>
              </w:rPr>
            </w:pPr>
            <w:r w:rsidRPr="00350989">
              <w:rPr>
                <w:color w:val="000000"/>
                <w:sz w:val="20"/>
              </w:rPr>
              <w:t>2</w:t>
            </w:r>
          </w:p>
        </w:tc>
        <w:tc>
          <w:tcPr>
            <w:tcW w:w="600" w:type="pct"/>
            <w:shd w:val="clear" w:color="auto" w:fill="auto"/>
            <w:noWrap/>
            <w:vAlign w:val="center"/>
            <w:hideMark/>
          </w:tcPr>
          <w:p w14:paraId="10889514" w14:textId="77777777" w:rsidR="001E40DC" w:rsidRPr="00350989" w:rsidRDefault="001E40DC" w:rsidP="000D7F61">
            <w:pPr>
              <w:spacing w:after="0"/>
              <w:rPr>
                <w:color w:val="000000"/>
                <w:sz w:val="20"/>
              </w:rPr>
            </w:pPr>
          </w:p>
        </w:tc>
      </w:tr>
      <w:tr w:rsidR="009672E6" w:rsidRPr="00350989" w14:paraId="7E2FFC77" w14:textId="77777777" w:rsidTr="0069684A">
        <w:trPr>
          <w:trHeight w:val="20"/>
        </w:trPr>
        <w:tc>
          <w:tcPr>
            <w:tcW w:w="2749" w:type="pct"/>
            <w:shd w:val="clear" w:color="auto" w:fill="auto"/>
            <w:noWrap/>
            <w:vAlign w:val="center"/>
            <w:hideMark/>
          </w:tcPr>
          <w:p w14:paraId="3EAF86E8" w14:textId="77777777" w:rsidR="001E40DC" w:rsidRPr="00350989" w:rsidRDefault="001E40DC" w:rsidP="000D7F61">
            <w:pPr>
              <w:spacing w:after="0"/>
              <w:rPr>
                <w:color w:val="000000"/>
                <w:sz w:val="20"/>
              </w:rPr>
            </w:pPr>
            <w:r w:rsidRPr="00350989">
              <w:rPr>
                <w:color w:val="000000"/>
                <w:sz w:val="20"/>
              </w:rPr>
              <w:t>Physical Disabilities (</w:t>
            </w:r>
            <w:proofErr w:type="spellStart"/>
            <w:r w:rsidRPr="00350989">
              <w:rPr>
                <w:color w:val="000000"/>
                <w:sz w:val="20"/>
              </w:rPr>
              <w:t>incl</w:t>
            </w:r>
            <w:proofErr w:type="spellEnd"/>
            <w:r w:rsidRPr="00350989">
              <w:rPr>
                <w:color w:val="000000"/>
                <w:sz w:val="20"/>
              </w:rPr>
              <w:t xml:space="preserve"> orthopaedics &amp; CP)</w:t>
            </w:r>
          </w:p>
        </w:tc>
        <w:tc>
          <w:tcPr>
            <w:tcW w:w="550" w:type="pct"/>
            <w:shd w:val="clear" w:color="auto" w:fill="auto"/>
            <w:noWrap/>
            <w:vAlign w:val="center"/>
            <w:hideMark/>
          </w:tcPr>
          <w:p w14:paraId="6ED73CFB" w14:textId="77777777" w:rsidR="001E40DC" w:rsidRPr="00350989" w:rsidRDefault="001E40DC" w:rsidP="000D7F61">
            <w:pPr>
              <w:spacing w:after="0"/>
              <w:rPr>
                <w:color w:val="000000"/>
                <w:sz w:val="20"/>
              </w:rPr>
            </w:pPr>
            <w:r w:rsidRPr="00350989">
              <w:rPr>
                <w:color w:val="000000"/>
                <w:sz w:val="20"/>
              </w:rPr>
              <w:t>8</w:t>
            </w:r>
          </w:p>
        </w:tc>
        <w:tc>
          <w:tcPr>
            <w:tcW w:w="551" w:type="pct"/>
            <w:shd w:val="clear" w:color="auto" w:fill="auto"/>
            <w:noWrap/>
            <w:vAlign w:val="center"/>
            <w:hideMark/>
          </w:tcPr>
          <w:p w14:paraId="524B6D0E" w14:textId="77777777" w:rsidR="001E40DC" w:rsidRPr="00350989" w:rsidRDefault="001E40DC" w:rsidP="000D7F61">
            <w:pPr>
              <w:spacing w:after="0"/>
              <w:rPr>
                <w:color w:val="000000"/>
                <w:sz w:val="20"/>
              </w:rPr>
            </w:pPr>
            <w:r w:rsidRPr="00350989">
              <w:rPr>
                <w:color w:val="000000"/>
                <w:sz w:val="20"/>
              </w:rPr>
              <w:t>15</w:t>
            </w:r>
          </w:p>
        </w:tc>
        <w:tc>
          <w:tcPr>
            <w:tcW w:w="550" w:type="pct"/>
            <w:shd w:val="clear" w:color="auto" w:fill="auto"/>
            <w:noWrap/>
            <w:vAlign w:val="center"/>
            <w:hideMark/>
          </w:tcPr>
          <w:p w14:paraId="32A3A64D" w14:textId="77777777" w:rsidR="001E40DC" w:rsidRPr="00350989" w:rsidRDefault="001E40DC" w:rsidP="000D7F61">
            <w:pPr>
              <w:spacing w:after="0"/>
              <w:rPr>
                <w:color w:val="000000"/>
                <w:sz w:val="20"/>
              </w:rPr>
            </w:pPr>
            <w:r w:rsidRPr="00350989">
              <w:rPr>
                <w:color w:val="000000"/>
                <w:sz w:val="20"/>
              </w:rPr>
              <w:t>12</w:t>
            </w:r>
          </w:p>
        </w:tc>
        <w:tc>
          <w:tcPr>
            <w:tcW w:w="600" w:type="pct"/>
            <w:shd w:val="clear" w:color="auto" w:fill="auto"/>
            <w:noWrap/>
            <w:vAlign w:val="center"/>
            <w:hideMark/>
          </w:tcPr>
          <w:p w14:paraId="4B2FA73F" w14:textId="77777777" w:rsidR="001E40DC" w:rsidRPr="00350989" w:rsidRDefault="001E40DC" w:rsidP="000D7F61">
            <w:pPr>
              <w:spacing w:after="0"/>
              <w:rPr>
                <w:color w:val="000000"/>
                <w:sz w:val="20"/>
              </w:rPr>
            </w:pPr>
          </w:p>
        </w:tc>
      </w:tr>
      <w:tr w:rsidR="009672E6" w:rsidRPr="00350989" w14:paraId="1D16B550" w14:textId="77777777" w:rsidTr="0069684A">
        <w:trPr>
          <w:trHeight w:val="20"/>
        </w:trPr>
        <w:tc>
          <w:tcPr>
            <w:tcW w:w="2749" w:type="pct"/>
            <w:shd w:val="clear" w:color="auto" w:fill="auto"/>
            <w:noWrap/>
            <w:vAlign w:val="center"/>
            <w:hideMark/>
          </w:tcPr>
          <w:p w14:paraId="11F5669B" w14:textId="77777777" w:rsidR="001E40DC" w:rsidRPr="00350989" w:rsidRDefault="001E40DC" w:rsidP="000D7F61">
            <w:pPr>
              <w:spacing w:after="0"/>
              <w:rPr>
                <w:color w:val="000000"/>
                <w:sz w:val="20"/>
              </w:rPr>
            </w:pPr>
            <w:r w:rsidRPr="00350989">
              <w:rPr>
                <w:color w:val="000000"/>
                <w:sz w:val="20"/>
              </w:rPr>
              <w:t>Psycho/Emotional difficulties</w:t>
            </w:r>
          </w:p>
        </w:tc>
        <w:tc>
          <w:tcPr>
            <w:tcW w:w="550" w:type="pct"/>
            <w:shd w:val="clear" w:color="auto" w:fill="auto"/>
            <w:noWrap/>
            <w:vAlign w:val="center"/>
            <w:hideMark/>
          </w:tcPr>
          <w:p w14:paraId="0E6E0813" w14:textId="77777777" w:rsidR="001E40DC" w:rsidRPr="00350989" w:rsidRDefault="001E40DC" w:rsidP="000D7F61">
            <w:pPr>
              <w:spacing w:after="0"/>
              <w:rPr>
                <w:color w:val="000000"/>
                <w:sz w:val="20"/>
              </w:rPr>
            </w:pPr>
            <w:r w:rsidRPr="00350989">
              <w:rPr>
                <w:color w:val="000000"/>
                <w:sz w:val="20"/>
              </w:rPr>
              <w:t>3</w:t>
            </w:r>
          </w:p>
        </w:tc>
        <w:tc>
          <w:tcPr>
            <w:tcW w:w="551" w:type="pct"/>
            <w:shd w:val="clear" w:color="auto" w:fill="auto"/>
            <w:noWrap/>
            <w:vAlign w:val="center"/>
            <w:hideMark/>
          </w:tcPr>
          <w:p w14:paraId="2E388A7C" w14:textId="77777777" w:rsidR="001E40DC" w:rsidRPr="00350989" w:rsidRDefault="001E40DC" w:rsidP="000D7F61">
            <w:pPr>
              <w:spacing w:after="0"/>
              <w:rPr>
                <w:color w:val="000000"/>
                <w:sz w:val="20"/>
              </w:rPr>
            </w:pPr>
            <w:r w:rsidRPr="00350989">
              <w:rPr>
                <w:color w:val="000000"/>
                <w:sz w:val="20"/>
              </w:rPr>
              <w:t>7</w:t>
            </w:r>
          </w:p>
        </w:tc>
        <w:tc>
          <w:tcPr>
            <w:tcW w:w="550" w:type="pct"/>
            <w:shd w:val="clear" w:color="auto" w:fill="auto"/>
            <w:noWrap/>
            <w:vAlign w:val="center"/>
            <w:hideMark/>
          </w:tcPr>
          <w:p w14:paraId="4A2578C2" w14:textId="77777777" w:rsidR="001E40DC" w:rsidRPr="00350989" w:rsidRDefault="001E40DC" w:rsidP="000D7F61">
            <w:pPr>
              <w:spacing w:after="0"/>
              <w:rPr>
                <w:color w:val="000000"/>
                <w:sz w:val="20"/>
              </w:rPr>
            </w:pPr>
            <w:r w:rsidRPr="00350989">
              <w:rPr>
                <w:color w:val="000000"/>
                <w:sz w:val="20"/>
              </w:rPr>
              <w:t>12</w:t>
            </w:r>
          </w:p>
        </w:tc>
        <w:tc>
          <w:tcPr>
            <w:tcW w:w="600" w:type="pct"/>
            <w:shd w:val="clear" w:color="auto" w:fill="auto"/>
            <w:noWrap/>
            <w:vAlign w:val="center"/>
            <w:hideMark/>
          </w:tcPr>
          <w:p w14:paraId="1A968FC8" w14:textId="77777777" w:rsidR="001E40DC" w:rsidRPr="00350989" w:rsidRDefault="001E40DC" w:rsidP="000D7F61">
            <w:pPr>
              <w:spacing w:after="0"/>
              <w:rPr>
                <w:color w:val="000000"/>
                <w:sz w:val="20"/>
              </w:rPr>
            </w:pPr>
          </w:p>
        </w:tc>
      </w:tr>
      <w:tr w:rsidR="009672E6" w:rsidRPr="00350989" w14:paraId="78FC6048" w14:textId="77777777" w:rsidTr="0069684A">
        <w:trPr>
          <w:trHeight w:val="20"/>
        </w:trPr>
        <w:tc>
          <w:tcPr>
            <w:tcW w:w="2749" w:type="pct"/>
            <w:shd w:val="clear" w:color="auto" w:fill="auto"/>
            <w:noWrap/>
            <w:vAlign w:val="center"/>
            <w:hideMark/>
          </w:tcPr>
          <w:p w14:paraId="0B3686BF" w14:textId="77777777" w:rsidR="001E40DC" w:rsidRPr="00350989" w:rsidRDefault="001E40DC" w:rsidP="000D7F61">
            <w:pPr>
              <w:spacing w:after="0"/>
              <w:rPr>
                <w:color w:val="212121"/>
                <w:sz w:val="20"/>
              </w:rPr>
            </w:pPr>
            <w:r w:rsidRPr="00350989">
              <w:rPr>
                <w:b/>
                <w:color w:val="000000"/>
                <w:sz w:val="20"/>
              </w:rPr>
              <w:t>Total</w:t>
            </w:r>
          </w:p>
        </w:tc>
        <w:tc>
          <w:tcPr>
            <w:tcW w:w="550" w:type="pct"/>
            <w:shd w:val="clear" w:color="auto" w:fill="auto"/>
            <w:noWrap/>
            <w:vAlign w:val="center"/>
            <w:hideMark/>
          </w:tcPr>
          <w:p w14:paraId="45DC0835" w14:textId="77777777" w:rsidR="001E40DC" w:rsidRPr="00350989" w:rsidRDefault="001E40DC" w:rsidP="000D7F61">
            <w:pPr>
              <w:spacing w:after="0"/>
              <w:rPr>
                <w:color w:val="212121"/>
                <w:sz w:val="20"/>
              </w:rPr>
            </w:pPr>
            <w:r w:rsidRPr="00350989">
              <w:rPr>
                <w:b/>
                <w:color w:val="000000"/>
                <w:sz w:val="20"/>
              </w:rPr>
              <w:t>78</w:t>
            </w:r>
          </w:p>
        </w:tc>
        <w:tc>
          <w:tcPr>
            <w:tcW w:w="551" w:type="pct"/>
            <w:shd w:val="clear" w:color="auto" w:fill="auto"/>
            <w:noWrap/>
            <w:vAlign w:val="center"/>
            <w:hideMark/>
          </w:tcPr>
          <w:p w14:paraId="2533A349" w14:textId="77777777" w:rsidR="001E40DC" w:rsidRPr="00350989" w:rsidRDefault="001E40DC" w:rsidP="000D7F61">
            <w:pPr>
              <w:spacing w:after="0"/>
              <w:rPr>
                <w:color w:val="212121"/>
                <w:sz w:val="20"/>
              </w:rPr>
            </w:pPr>
            <w:r w:rsidRPr="00350989">
              <w:rPr>
                <w:b/>
                <w:color w:val="000000"/>
                <w:sz w:val="20"/>
              </w:rPr>
              <w:t>98</w:t>
            </w:r>
          </w:p>
        </w:tc>
        <w:tc>
          <w:tcPr>
            <w:tcW w:w="550" w:type="pct"/>
            <w:shd w:val="clear" w:color="auto" w:fill="auto"/>
            <w:noWrap/>
            <w:vAlign w:val="center"/>
            <w:hideMark/>
          </w:tcPr>
          <w:p w14:paraId="490BECAE" w14:textId="77777777" w:rsidR="001E40DC" w:rsidRPr="00350989" w:rsidRDefault="001E40DC" w:rsidP="000D7F61">
            <w:pPr>
              <w:spacing w:after="0"/>
              <w:rPr>
                <w:color w:val="212121"/>
                <w:sz w:val="20"/>
              </w:rPr>
            </w:pPr>
            <w:r w:rsidRPr="00350989">
              <w:rPr>
                <w:b/>
                <w:color w:val="000000"/>
                <w:sz w:val="20"/>
              </w:rPr>
              <w:t>107</w:t>
            </w:r>
          </w:p>
        </w:tc>
        <w:tc>
          <w:tcPr>
            <w:tcW w:w="600" w:type="pct"/>
            <w:shd w:val="clear" w:color="auto" w:fill="auto"/>
            <w:noWrap/>
            <w:vAlign w:val="center"/>
            <w:hideMark/>
          </w:tcPr>
          <w:p w14:paraId="69839BC9" w14:textId="77777777" w:rsidR="001E40DC" w:rsidRPr="00350989" w:rsidRDefault="001E40DC" w:rsidP="000D7F61">
            <w:pPr>
              <w:spacing w:after="0"/>
              <w:rPr>
                <w:color w:val="212121"/>
                <w:sz w:val="20"/>
              </w:rPr>
            </w:pPr>
          </w:p>
        </w:tc>
      </w:tr>
    </w:tbl>
    <w:p w14:paraId="0506AA70" w14:textId="77777777" w:rsidR="001E40DC" w:rsidRPr="00350989" w:rsidRDefault="001E40DC" w:rsidP="000D7F61">
      <w:pPr>
        <w:spacing w:after="0"/>
        <w:rPr>
          <w:b/>
        </w:rPr>
      </w:pPr>
    </w:p>
    <w:p w14:paraId="6BC53CF6" w14:textId="77777777" w:rsidR="001E40DC" w:rsidRPr="00350989" w:rsidRDefault="001E40DC" w:rsidP="000D7F61">
      <w:pPr>
        <w:spacing w:after="0"/>
        <w:rPr>
          <w:b/>
        </w:rPr>
      </w:pPr>
      <w:r w:rsidRPr="00350989">
        <w:rPr>
          <w:b/>
        </w:rPr>
        <w:t xml:space="preserve">Table: University of Cyprus – Students per disability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9"/>
        <w:gridCol w:w="1241"/>
        <w:gridCol w:w="1243"/>
        <w:gridCol w:w="1241"/>
        <w:gridCol w:w="1506"/>
      </w:tblGrid>
      <w:tr w:rsidR="001E40DC" w:rsidRPr="00350989" w14:paraId="145FE69E" w14:textId="77777777" w:rsidTr="0069684A">
        <w:trPr>
          <w:trHeight w:val="20"/>
        </w:trPr>
        <w:tc>
          <w:tcPr>
            <w:tcW w:w="2066" w:type="pct"/>
            <w:shd w:val="clear" w:color="auto" w:fill="auto"/>
            <w:noWrap/>
            <w:vAlign w:val="center"/>
            <w:hideMark/>
          </w:tcPr>
          <w:p w14:paraId="08C0A501" w14:textId="77777777" w:rsidR="001E40DC" w:rsidRPr="00350989" w:rsidRDefault="001E40DC" w:rsidP="000D7F61">
            <w:pPr>
              <w:spacing w:after="0"/>
              <w:rPr>
                <w:rFonts w:eastAsia="Times New Roman"/>
                <w:color w:val="212121"/>
                <w:sz w:val="20"/>
                <w:lang w:eastAsia="el-GR"/>
              </w:rPr>
            </w:pPr>
            <w:r w:rsidRPr="00350989">
              <w:rPr>
                <w:rFonts w:eastAsia="Times New Roman"/>
                <w:b/>
                <w:bCs/>
                <w:color w:val="000000"/>
                <w:sz w:val="20"/>
                <w:lang w:eastAsia="el-GR"/>
              </w:rPr>
              <w:t> </w:t>
            </w:r>
          </w:p>
        </w:tc>
        <w:tc>
          <w:tcPr>
            <w:tcW w:w="733" w:type="pct"/>
            <w:shd w:val="clear" w:color="auto" w:fill="auto"/>
            <w:noWrap/>
            <w:vAlign w:val="center"/>
            <w:hideMark/>
          </w:tcPr>
          <w:p w14:paraId="6186BFBF" w14:textId="77777777" w:rsidR="001E40DC" w:rsidRPr="00350989" w:rsidRDefault="001E40DC" w:rsidP="000D7F61">
            <w:pPr>
              <w:spacing w:after="0"/>
              <w:rPr>
                <w:rFonts w:eastAsia="Times New Roman"/>
                <w:color w:val="212121"/>
                <w:sz w:val="20"/>
                <w:lang w:eastAsia="el-GR"/>
              </w:rPr>
            </w:pPr>
            <w:r w:rsidRPr="00350989">
              <w:rPr>
                <w:rFonts w:eastAsia="Times New Roman"/>
                <w:b/>
                <w:bCs/>
                <w:color w:val="000000"/>
                <w:sz w:val="20"/>
                <w:lang w:eastAsia="el-GR"/>
              </w:rPr>
              <w:t>2011-12</w:t>
            </w:r>
          </w:p>
        </w:tc>
        <w:tc>
          <w:tcPr>
            <w:tcW w:w="734" w:type="pct"/>
            <w:shd w:val="clear" w:color="auto" w:fill="auto"/>
            <w:noWrap/>
            <w:vAlign w:val="center"/>
            <w:hideMark/>
          </w:tcPr>
          <w:p w14:paraId="0976FEEC" w14:textId="77777777" w:rsidR="001E40DC" w:rsidRPr="00350989" w:rsidRDefault="001E40DC" w:rsidP="000D7F61">
            <w:pPr>
              <w:spacing w:after="0"/>
              <w:rPr>
                <w:rFonts w:eastAsia="Times New Roman"/>
                <w:color w:val="212121"/>
                <w:sz w:val="20"/>
                <w:lang w:eastAsia="el-GR"/>
              </w:rPr>
            </w:pPr>
            <w:r w:rsidRPr="00350989">
              <w:rPr>
                <w:rFonts w:eastAsia="Times New Roman"/>
                <w:b/>
                <w:bCs/>
                <w:color w:val="000000"/>
                <w:sz w:val="20"/>
                <w:lang w:eastAsia="el-GR"/>
              </w:rPr>
              <w:t>2012-13</w:t>
            </w:r>
          </w:p>
        </w:tc>
        <w:tc>
          <w:tcPr>
            <w:tcW w:w="733" w:type="pct"/>
            <w:shd w:val="clear" w:color="auto" w:fill="auto"/>
            <w:noWrap/>
            <w:vAlign w:val="center"/>
            <w:hideMark/>
          </w:tcPr>
          <w:p w14:paraId="351E52DE" w14:textId="77777777" w:rsidR="001E40DC" w:rsidRPr="00350989" w:rsidRDefault="001E40DC" w:rsidP="000D7F61">
            <w:pPr>
              <w:spacing w:after="0"/>
              <w:rPr>
                <w:rFonts w:eastAsia="Times New Roman"/>
                <w:color w:val="212121"/>
                <w:sz w:val="20"/>
                <w:lang w:eastAsia="el-GR"/>
              </w:rPr>
            </w:pPr>
            <w:r w:rsidRPr="00350989">
              <w:rPr>
                <w:rFonts w:eastAsia="Times New Roman"/>
                <w:b/>
                <w:bCs/>
                <w:color w:val="000000"/>
                <w:sz w:val="20"/>
                <w:lang w:eastAsia="el-GR"/>
              </w:rPr>
              <w:t>2013-14</w:t>
            </w:r>
          </w:p>
        </w:tc>
        <w:tc>
          <w:tcPr>
            <w:tcW w:w="734" w:type="pct"/>
            <w:shd w:val="clear" w:color="auto" w:fill="auto"/>
            <w:noWrap/>
            <w:vAlign w:val="center"/>
            <w:hideMark/>
          </w:tcPr>
          <w:p w14:paraId="675DCBCA" w14:textId="77777777" w:rsidR="001E40DC" w:rsidRPr="00350989" w:rsidRDefault="001E40DC" w:rsidP="000D7F61">
            <w:pPr>
              <w:spacing w:after="0"/>
              <w:rPr>
                <w:rFonts w:eastAsia="Times New Roman"/>
                <w:color w:val="212121"/>
                <w:sz w:val="20"/>
                <w:lang w:eastAsia="el-GR"/>
              </w:rPr>
            </w:pPr>
            <w:r w:rsidRPr="00350989">
              <w:rPr>
                <w:rFonts w:eastAsia="Times New Roman"/>
                <w:b/>
                <w:bCs/>
                <w:color w:val="000000"/>
                <w:sz w:val="20"/>
                <w:lang w:eastAsia="el-GR"/>
              </w:rPr>
              <w:t>2014-15</w:t>
            </w:r>
          </w:p>
        </w:tc>
      </w:tr>
      <w:tr w:rsidR="009672E6" w:rsidRPr="00350989" w14:paraId="466F1D43" w14:textId="77777777" w:rsidTr="0069684A">
        <w:trPr>
          <w:trHeight w:val="20"/>
        </w:trPr>
        <w:tc>
          <w:tcPr>
            <w:tcW w:w="2066" w:type="pct"/>
            <w:shd w:val="clear" w:color="auto" w:fill="auto"/>
            <w:noWrap/>
            <w:vAlign w:val="center"/>
            <w:hideMark/>
          </w:tcPr>
          <w:p w14:paraId="3E1EF3E5" w14:textId="77777777" w:rsidR="001E40DC" w:rsidRPr="00350989" w:rsidRDefault="001E40DC" w:rsidP="000D7F61">
            <w:pPr>
              <w:spacing w:after="0"/>
              <w:rPr>
                <w:color w:val="000000"/>
                <w:sz w:val="20"/>
              </w:rPr>
            </w:pPr>
            <w:r w:rsidRPr="00350989">
              <w:rPr>
                <w:color w:val="000000"/>
                <w:sz w:val="20"/>
              </w:rPr>
              <w:t>Visual Impairment</w:t>
            </w:r>
          </w:p>
        </w:tc>
        <w:tc>
          <w:tcPr>
            <w:tcW w:w="733" w:type="pct"/>
            <w:shd w:val="clear" w:color="auto" w:fill="auto"/>
            <w:noWrap/>
            <w:vAlign w:val="center"/>
            <w:hideMark/>
          </w:tcPr>
          <w:p w14:paraId="447F7062" w14:textId="77777777" w:rsidR="001E40DC" w:rsidRPr="00350989" w:rsidRDefault="001E40DC" w:rsidP="000D7F61">
            <w:pPr>
              <w:spacing w:after="0"/>
              <w:rPr>
                <w:color w:val="000000"/>
                <w:sz w:val="20"/>
              </w:rPr>
            </w:pPr>
            <w:r w:rsidRPr="00350989">
              <w:rPr>
                <w:color w:val="000000"/>
                <w:sz w:val="20"/>
              </w:rPr>
              <w:t>15</w:t>
            </w:r>
          </w:p>
        </w:tc>
        <w:tc>
          <w:tcPr>
            <w:tcW w:w="734" w:type="pct"/>
            <w:shd w:val="clear" w:color="auto" w:fill="auto"/>
            <w:noWrap/>
            <w:vAlign w:val="center"/>
            <w:hideMark/>
          </w:tcPr>
          <w:p w14:paraId="6807316C" w14:textId="77777777" w:rsidR="001E40DC" w:rsidRPr="00350989" w:rsidRDefault="001E40DC" w:rsidP="000D7F61">
            <w:pPr>
              <w:spacing w:after="0"/>
              <w:rPr>
                <w:color w:val="000000"/>
                <w:sz w:val="20"/>
              </w:rPr>
            </w:pPr>
            <w:r w:rsidRPr="00350989">
              <w:rPr>
                <w:color w:val="000000"/>
                <w:sz w:val="20"/>
              </w:rPr>
              <w:t>14</w:t>
            </w:r>
          </w:p>
        </w:tc>
        <w:tc>
          <w:tcPr>
            <w:tcW w:w="733" w:type="pct"/>
            <w:shd w:val="clear" w:color="auto" w:fill="auto"/>
            <w:noWrap/>
            <w:vAlign w:val="center"/>
            <w:hideMark/>
          </w:tcPr>
          <w:p w14:paraId="76FFE38F" w14:textId="77777777" w:rsidR="001E40DC" w:rsidRPr="00350989" w:rsidRDefault="001E40DC" w:rsidP="000D7F61">
            <w:pPr>
              <w:spacing w:after="0"/>
              <w:rPr>
                <w:color w:val="000000"/>
                <w:sz w:val="20"/>
              </w:rPr>
            </w:pPr>
            <w:r w:rsidRPr="00350989">
              <w:rPr>
                <w:color w:val="000000"/>
                <w:sz w:val="20"/>
              </w:rPr>
              <w:t>12</w:t>
            </w:r>
          </w:p>
        </w:tc>
        <w:tc>
          <w:tcPr>
            <w:tcW w:w="734" w:type="pct"/>
            <w:shd w:val="clear" w:color="auto" w:fill="auto"/>
            <w:noWrap/>
            <w:vAlign w:val="center"/>
            <w:hideMark/>
          </w:tcPr>
          <w:p w14:paraId="51C9D14B" w14:textId="77777777" w:rsidR="001E40DC" w:rsidRPr="00350989" w:rsidRDefault="001E40DC" w:rsidP="000D7F61">
            <w:pPr>
              <w:spacing w:after="0"/>
              <w:rPr>
                <w:color w:val="000000"/>
                <w:sz w:val="20"/>
              </w:rPr>
            </w:pPr>
            <w:r w:rsidRPr="00350989">
              <w:rPr>
                <w:color w:val="000000"/>
                <w:sz w:val="20"/>
              </w:rPr>
              <w:t>10</w:t>
            </w:r>
          </w:p>
        </w:tc>
      </w:tr>
      <w:tr w:rsidR="009672E6" w:rsidRPr="00350989" w14:paraId="72A6824A" w14:textId="77777777" w:rsidTr="0069684A">
        <w:trPr>
          <w:trHeight w:val="20"/>
        </w:trPr>
        <w:tc>
          <w:tcPr>
            <w:tcW w:w="2066" w:type="pct"/>
            <w:shd w:val="clear" w:color="auto" w:fill="auto"/>
            <w:noWrap/>
            <w:vAlign w:val="center"/>
            <w:hideMark/>
          </w:tcPr>
          <w:p w14:paraId="2FC26636" w14:textId="77777777" w:rsidR="001E40DC" w:rsidRPr="00350989" w:rsidRDefault="001E40DC" w:rsidP="000D7F61">
            <w:pPr>
              <w:spacing w:after="0"/>
              <w:rPr>
                <w:color w:val="000000"/>
                <w:sz w:val="20"/>
              </w:rPr>
            </w:pPr>
            <w:r w:rsidRPr="00350989">
              <w:rPr>
                <w:color w:val="000000"/>
                <w:sz w:val="20"/>
              </w:rPr>
              <w:t>Hearing Impairment</w:t>
            </w:r>
          </w:p>
        </w:tc>
        <w:tc>
          <w:tcPr>
            <w:tcW w:w="733" w:type="pct"/>
            <w:shd w:val="clear" w:color="auto" w:fill="auto"/>
            <w:noWrap/>
            <w:vAlign w:val="center"/>
            <w:hideMark/>
          </w:tcPr>
          <w:p w14:paraId="4FD7FB69" w14:textId="77777777" w:rsidR="001E40DC" w:rsidRPr="00350989" w:rsidRDefault="001E40DC" w:rsidP="000D7F61">
            <w:pPr>
              <w:spacing w:after="0"/>
              <w:rPr>
                <w:color w:val="000000"/>
                <w:sz w:val="20"/>
              </w:rPr>
            </w:pPr>
            <w:r w:rsidRPr="00350989">
              <w:rPr>
                <w:color w:val="000000"/>
                <w:sz w:val="20"/>
              </w:rPr>
              <w:t>12</w:t>
            </w:r>
          </w:p>
        </w:tc>
        <w:tc>
          <w:tcPr>
            <w:tcW w:w="734" w:type="pct"/>
            <w:shd w:val="clear" w:color="auto" w:fill="auto"/>
            <w:noWrap/>
            <w:vAlign w:val="center"/>
            <w:hideMark/>
          </w:tcPr>
          <w:p w14:paraId="2BD4C429" w14:textId="77777777" w:rsidR="001E40DC" w:rsidRPr="00350989" w:rsidRDefault="001E40DC" w:rsidP="000D7F61">
            <w:pPr>
              <w:spacing w:after="0"/>
              <w:rPr>
                <w:color w:val="000000"/>
                <w:sz w:val="20"/>
              </w:rPr>
            </w:pPr>
            <w:r w:rsidRPr="00350989">
              <w:rPr>
                <w:color w:val="000000"/>
                <w:sz w:val="20"/>
              </w:rPr>
              <w:t>10</w:t>
            </w:r>
          </w:p>
        </w:tc>
        <w:tc>
          <w:tcPr>
            <w:tcW w:w="733" w:type="pct"/>
            <w:shd w:val="clear" w:color="auto" w:fill="auto"/>
            <w:noWrap/>
            <w:vAlign w:val="center"/>
            <w:hideMark/>
          </w:tcPr>
          <w:p w14:paraId="1C762AA5" w14:textId="77777777" w:rsidR="001E40DC" w:rsidRPr="00350989" w:rsidRDefault="001E40DC" w:rsidP="000D7F61">
            <w:pPr>
              <w:spacing w:after="0"/>
              <w:rPr>
                <w:color w:val="000000"/>
                <w:sz w:val="20"/>
              </w:rPr>
            </w:pPr>
            <w:r w:rsidRPr="00350989">
              <w:rPr>
                <w:color w:val="000000"/>
                <w:sz w:val="20"/>
              </w:rPr>
              <w:t>12</w:t>
            </w:r>
          </w:p>
        </w:tc>
        <w:tc>
          <w:tcPr>
            <w:tcW w:w="734" w:type="pct"/>
            <w:shd w:val="clear" w:color="auto" w:fill="auto"/>
            <w:noWrap/>
            <w:vAlign w:val="center"/>
            <w:hideMark/>
          </w:tcPr>
          <w:p w14:paraId="7C4EB5EF" w14:textId="77777777" w:rsidR="001E40DC" w:rsidRPr="00350989" w:rsidRDefault="001E40DC" w:rsidP="000D7F61">
            <w:pPr>
              <w:spacing w:after="0"/>
              <w:rPr>
                <w:color w:val="000000"/>
                <w:sz w:val="20"/>
              </w:rPr>
            </w:pPr>
            <w:r w:rsidRPr="00350989">
              <w:rPr>
                <w:color w:val="000000"/>
                <w:sz w:val="20"/>
              </w:rPr>
              <w:t>15</w:t>
            </w:r>
          </w:p>
        </w:tc>
      </w:tr>
      <w:tr w:rsidR="009672E6" w:rsidRPr="00350989" w14:paraId="6FF42EDC" w14:textId="77777777" w:rsidTr="0069684A">
        <w:trPr>
          <w:trHeight w:val="20"/>
        </w:trPr>
        <w:tc>
          <w:tcPr>
            <w:tcW w:w="2066" w:type="pct"/>
            <w:shd w:val="clear" w:color="auto" w:fill="auto"/>
            <w:noWrap/>
            <w:vAlign w:val="center"/>
            <w:hideMark/>
          </w:tcPr>
          <w:p w14:paraId="78E14372" w14:textId="77777777" w:rsidR="001E40DC" w:rsidRPr="00350989" w:rsidRDefault="001E40DC" w:rsidP="000D7F61">
            <w:pPr>
              <w:spacing w:after="0"/>
              <w:rPr>
                <w:color w:val="000000"/>
                <w:sz w:val="20"/>
              </w:rPr>
            </w:pPr>
            <w:r w:rsidRPr="00350989">
              <w:rPr>
                <w:color w:val="000000"/>
                <w:sz w:val="20"/>
              </w:rPr>
              <w:t>Physical Disabilities</w:t>
            </w:r>
          </w:p>
        </w:tc>
        <w:tc>
          <w:tcPr>
            <w:tcW w:w="733" w:type="pct"/>
            <w:shd w:val="clear" w:color="auto" w:fill="auto"/>
            <w:noWrap/>
            <w:vAlign w:val="center"/>
            <w:hideMark/>
          </w:tcPr>
          <w:p w14:paraId="74E56246" w14:textId="77777777" w:rsidR="001E40DC" w:rsidRPr="00350989" w:rsidRDefault="001E40DC" w:rsidP="000D7F61">
            <w:pPr>
              <w:spacing w:after="0"/>
              <w:rPr>
                <w:color w:val="000000"/>
                <w:sz w:val="20"/>
              </w:rPr>
            </w:pPr>
            <w:r w:rsidRPr="00350989">
              <w:rPr>
                <w:color w:val="000000"/>
                <w:sz w:val="20"/>
              </w:rPr>
              <w:t>21</w:t>
            </w:r>
          </w:p>
        </w:tc>
        <w:tc>
          <w:tcPr>
            <w:tcW w:w="734" w:type="pct"/>
            <w:shd w:val="clear" w:color="auto" w:fill="auto"/>
            <w:noWrap/>
            <w:vAlign w:val="center"/>
            <w:hideMark/>
          </w:tcPr>
          <w:p w14:paraId="1EF80CFF" w14:textId="77777777" w:rsidR="001E40DC" w:rsidRPr="00350989" w:rsidRDefault="001E40DC" w:rsidP="000D7F61">
            <w:pPr>
              <w:spacing w:after="0"/>
              <w:rPr>
                <w:color w:val="000000"/>
                <w:sz w:val="20"/>
              </w:rPr>
            </w:pPr>
            <w:r w:rsidRPr="00350989">
              <w:rPr>
                <w:color w:val="000000"/>
                <w:sz w:val="20"/>
              </w:rPr>
              <w:t>16</w:t>
            </w:r>
          </w:p>
        </w:tc>
        <w:tc>
          <w:tcPr>
            <w:tcW w:w="733" w:type="pct"/>
            <w:shd w:val="clear" w:color="auto" w:fill="auto"/>
            <w:noWrap/>
            <w:vAlign w:val="center"/>
            <w:hideMark/>
          </w:tcPr>
          <w:p w14:paraId="2D1745F7" w14:textId="77777777" w:rsidR="001E40DC" w:rsidRPr="00350989" w:rsidRDefault="001E40DC" w:rsidP="000D7F61">
            <w:pPr>
              <w:spacing w:after="0"/>
              <w:rPr>
                <w:color w:val="000000"/>
                <w:sz w:val="20"/>
              </w:rPr>
            </w:pPr>
            <w:r w:rsidRPr="00350989">
              <w:rPr>
                <w:color w:val="000000"/>
                <w:sz w:val="20"/>
              </w:rPr>
              <w:t>20</w:t>
            </w:r>
          </w:p>
        </w:tc>
        <w:tc>
          <w:tcPr>
            <w:tcW w:w="734" w:type="pct"/>
            <w:shd w:val="clear" w:color="auto" w:fill="auto"/>
            <w:noWrap/>
            <w:vAlign w:val="center"/>
            <w:hideMark/>
          </w:tcPr>
          <w:p w14:paraId="70E3D877" w14:textId="77777777" w:rsidR="001E40DC" w:rsidRPr="00350989" w:rsidRDefault="001E40DC" w:rsidP="000D7F61">
            <w:pPr>
              <w:spacing w:after="0"/>
              <w:rPr>
                <w:color w:val="000000"/>
                <w:sz w:val="20"/>
              </w:rPr>
            </w:pPr>
            <w:r w:rsidRPr="00350989">
              <w:rPr>
                <w:color w:val="000000"/>
                <w:sz w:val="20"/>
              </w:rPr>
              <w:t>17</w:t>
            </w:r>
          </w:p>
        </w:tc>
      </w:tr>
      <w:tr w:rsidR="009672E6" w:rsidRPr="00350989" w14:paraId="6E38A357" w14:textId="77777777" w:rsidTr="0069684A">
        <w:trPr>
          <w:trHeight w:val="20"/>
        </w:trPr>
        <w:tc>
          <w:tcPr>
            <w:tcW w:w="2066" w:type="pct"/>
            <w:shd w:val="clear" w:color="auto" w:fill="auto"/>
            <w:noWrap/>
            <w:vAlign w:val="center"/>
            <w:hideMark/>
          </w:tcPr>
          <w:p w14:paraId="05B6A1D7" w14:textId="77777777" w:rsidR="001E40DC" w:rsidRPr="00350989" w:rsidRDefault="001E40DC" w:rsidP="000D7F61">
            <w:pPr>
              <w:spacing w:after="0"/>
              <w:rPr>
                <w:color w:val="000000"/>
                <w:sz w:val="20"/>
              </w:rPr>
            </w:pPr>
            <w:r w:rsidRPr="00350989">
              <w:rPr>
                <w:color w:val="000000"/>
                <w:sz w:val="20"/>
              </w:rPr>
              <w:t>Learning Disabilities</w:t>
            </w:r>
          </w:p>
        </w:tc>
        <w:tc>
          <w:tcPr>
            <w:tcW w:w="733" w:type="pct"/>
            <w:shd w:val="clear" w:color="auto" w:fill="auto"/>
            <w:noWrap/>
            <w:vAlign w:val="center"/>
            <w:hideMark/>
          </w:tcPr>
          <w:p w14:paraId="4A6B6895" w14:textId="77777777" w:rsidR="001E40DC" w:rsidRPr="00350989" w:rsidRDefault="001E40DC" w:rsidP="000D7F61">
            <w:pPr>
              <w:spacing w:after="0"/>
              <w:rPr>
                <w:color w:val="000000"/>
                <w:sz w:val="20"/>
              </w:rPr>
            </w:pPr>
            <w:r w:rsidRPr="00350989">
              <w:rPr>
                <w:color w:val="000000"/>
                <w:sz w:val="20"/>
              </w:rPr>
              <w:t>15</w:t>
            </w:r>
          </w:p>
        </w:tc>
        <w:tc>
          <w:tcPr>
            <w:tcW w:w="734" w:type="pct"/>
            <w:shd w:val="clear" w:color="auto" w:fill="auto"/>
            <w:noWrap/>
            <w:vAlign w:val="center"/>
            <w:hideMark/>
          </w:tcPr>
          <w:p w14:paraId="1597EDCE" w14:textId="77777777" w:rsidR="001E40DC" w:rsidRPr="00350989" w:rsidRDefault="001E40DC" w:rsidP="000D7F61">
            <w:pPr>
              <w:spacing w:after="0"/>
              <w:rPr>
                <w:color w:val="000000"/>
                <w:sz w:val="20"/>
              </w:rPr>
            </w:pPr>
            <w:r w:rsidRPr="00350989">
              <w:rPr>
                <w:color w:val="000000"/>
                <w:sz w:val="20"/>
              </w:rPr>
              <w:t>26</w:t>
            </w:r>
          </w:p>
        </w:tc>
        <w:tc>
          <w:tcPr>
            <w:tcW w:w="733" w:type="pct"/>
            <w:shd w:val="clear" w:color="auto" w:fill="auto"/>
            <w:noWrap/>
            <w:vAlign w:val="center"/>
            <w:hideMark/>
          </w:tcPr>
          <w:p w14:paraId="008AAADE" w14:textId="77777777" w:rsidR="001E40DC" w:rsidRPr="00350989" w:rsidRDefault="001E40DC" w:rsidP="000D7F61">
            <w:pPr>
              <w:spacing w:after="0"/>
              <w:rPr>
                <w:color w:val="000000"/>
                <w:sz w:val="20"/>
              </w:rPr>
            </w:pPr>
            <w:r w:rsidRPr="00350989">
              <w:rPr>
                <w:color w:val="000000"/>
                <w:sz w:val="20"/>
              </w:rPr>
              <w:t>31</w:t>
            </w:r>
          </w:p>
        </w:tc>
        <w:tc>
          <w:tcPr>
            <w:tcW w:w="734" w:type="pct"/>
            <w:shd w:val="clear" w:color="auto" w:fill="auto"/>
            <w:noWrap/>
            <w:vAlign w:val="center"/>
            <w:hideMark/>
          </w:tcPr>
          <w:p w14:paraId="62C9AE82" w14:textId="77777777" w:rsidR="001E40DC" w:rsidRPr="00350989" w:rsidRDefault="001E40DC" w:rsidP="000D7F61">
            <w:pPr>
              <w:spacing w:after="0"/>
              <w:rPr>
                <w:color w:val="000000"/>
                <w:sz w:val="20"/>
              </w:rPr>
            </w:pPr>
            <w:r w:rsidRPr="00350989">
              <w:rPr>
                <w:color w:val="000000"/>
                <w:sz w:val="20"/>
              </w:rPr>
              <w:t>Not available *</w:t>
            </w:r>
          </w:p>
        </w:tc>
      </w:tr>
      <w:tr w:rsidR="009672E6" w:rsidRPr="00350989" w14:paraId="3E2D7301" w14:textId="77777777" w:rsidTr="0069684A">
        <w:trPr>
          <w:trHeight w:val="20"/>
        </w:trPr>
        <w:tc>
          <w:tcPr>
            <w:tcW w:w="2066" w:type="pct"/>
            <w:shd w:val="clear" w:color="auto" w:fill="auto"/>
            <w:noWrap/>
            <w:vAlign w:val="center"/>
            <w:hideMark/>
          </w:tcPr>
          <w:p w14:paraId="0DDF3E6A" w14:textId="77777777" w:rsidR="001E40DC" w:rsidRPr="00350989" w:rsidRDefault="001E40DC" w:rsidP="000D7F61">
            <w:pPr>
              <w:spacing w:after="0"/>
              <w:rPr>
                <w:color w:val="000000"/>
                <w:sz w:val="20"/>
              </w:rPr>
            </w:pPr>
            <w:r w:rsidRPr="00350989">
              <w:rPr>
                <w:color w:val="000000"/>
                <w:sz w:val="20"/>
              </w:rPr>
              <w:t>Psychological-Emotional Difficulties</w:t>
            </w:r>
          </w:p>
        </w:tc>
        <w:tc>
          <w:tcPr>
            <w:tcW w:w="733" w:type="pct"/>
            <w:shd w:val="clear" w:color="auto" w:fill="auto"/>
            <w:noWrap/>
            <w:vAlign w:val="center"/>
            <w:hideMark/>
          </w:tcPr>
          <w:p w14:paraId="486A1B16" w14:textId="77777777" w:rsidR="001E40DC" w:rsidRPr="00350989" w:rsidRDefault="001E40DC" w:rsidP="000D7F61">
            <w:pPr>
              <w:spacing w:after="0"/>
              <w:rPr>
                <w:color w:val="000000"/>
                <w:sz w:val="20"/>
              </w:rPr>
            </w:pPr>
            <w:r w:rsidRPr="00350989">
              <w:rPr>
                <w:color w:val="000000"/>
                <w:sz w:val="20"/>
              </w:rPr>
              <w:t> 51</w:t>
            </w:r>
          </w:p>
        </w:tc>
        <w:tc>
          <w:tcPr>
            <w:tcW w:w="734" w:type="pct"/>
            <w:shd w:val="clear" w:color="auto" w:fill="auto"/>
            <w:noWrap/>
            <w:vAlign w:val="center"/>
            <w:hideMark/>
          </w:tcPr>
          <w:p w14:paraId="299DE5C6" w14:textId="77777777" w:rsidR="001E40DC" w:rsidRPr="00350989" w:rsidRDefault="001E40DC" w:rsidP="000D7F61">
            <w:pPr>
              <w:spacing w:after="0"/>
              <w:rPr>
                <w:color w:val="000000"/>
                <w:sz w:val="20"/>
              </w:rPr>
            </w:pPr>
            <w:r w:rsidRPr="00350989">
              <w:rPr>
                <w:color w:val="000000"/>
                <w:sz w:val="20"/>
              </w:rPr>
              <w:t>48</w:t>
            </w:r>
          </w:p>
        </w:tc>
        <w:tc>
          <w:tcPr>
            <w:tcW w:w="733" w:type="pct"/>
            <w:shd w:val="clear" w:color="auto" w:fill="auto"/>
            <w:noWrap/>
            <w:vAlign w:val="center"/>
            <w:hideMark/>
          </w:tcPr>
          <w:p w14:paraId="29849B0C" w14:textId="77777777" w:rsidR="001E40DC" w:rsidRPr="00350989" w:rsidRDefault="001E40DC" w:rsidP="000D7F61">
            <w:pPr>
              <w:spacing w:after="0"/>
              <w:rPr>
                <w:color w:val="000000"/>
                <w:sz w:val="20"/>
              </w:rPr>
            </w:pPr>
            <w:r w:rsidRPr="00350989">
              <w:rPr>
                <w:color w:val="000000"/>
                <w:sz w:val="20"/>
              </w:rPr>
              <w:t>51</w:t>
            </w:r>
          </w:p>
        </w:tc>
        <w:tc>
          <w:tcPr>
            <w:tcW w:w="734" w:type="pct"/>
            <w:shd w:val="clear" w:color="auto" w:fill="auto"/>
            <w:noWrap/>
            <w:vAlign w:val="center"/>
            <w:hideMark/>
          </w:tcPr>
          <w:p w14:paraId="5F3CE516" w14:textId="77777777" w:rsidR="001E40DC" w:rsidRPr="00350989" w:rsidRDefault="001E40DC" w:rsidP="000D7F61">
            <w:pPr>
              <w:spacing w:after="0"/>
              <w:rPr>
                <w:color w:val="000000"/>
                <w:sz w:val="20"/>
              </w:rPr>
            </w:pPr>
            <w:r w:rsidRPr="00350989">
              <w:rPr>
                <w:color w:val="000000"/>
                <w:sz w:val="20"/>
              </w:rPr>
              <w:t>Not available</w:t>
            </w:r>
          </w:p>
        </w:tc>
      </w:tr>
      <w:tr w:rsidR="009672E6" w:rsidRPr="00350989" w14:paraId="373D1D53" w14:textId="77777777" w:rsidTr="0069684A">
        <w:trPr>
          <w:trHeight w:val="20"/>
        </w:trPr>
        <w:tc>
          <w:tcPr>
            <w:tcW w:w="2066" w:type="pct"/>
            <w:shd w:val="clear" w:color="auto" w:fill="auto"/>
            <w:noWrap/>
            <w:vAlign w:val="center"/>
            <w:hideMark/>
          </w:tcPr>
          <w:p w14:paraId="70A1CA6C" w14:textId="77777777" w:rsidR="001E40DC" w:rsidRPr="00350989" w:rsidRDefault="001E40DC" w:rsidP="000D7F61">
            <w:pPr>
              <w:spacing w:after="0"/>
              <w:rPr>
                <w:color w:val="000000"/>
                <w:sz w:val="20"/>
              </w:rPr>
            </w:pPr>
            <w:r w:rsidRPr="00350989">
              <w:rPr>
                <w:color w:val="000000"/>
                <w:sz w:val="20"/>
              </w:rPr>
              <w:t xml:space="preserve">Health Problems (incl. epilepsy, </w:t>
            </w:r>
            <w:proofErr w:type="spellStart"/>
            <w:r w:rsidRPr="00350989">
              <w:rPr>
                <w:color w:val="000000"/>
                <w:sz w:val="20"/>
              </w:rPr>
              <w:t>mls</w:t>
            </w:r>
            <w:proofErr w:type="spellEnd"/>
            <w:r w:rsidRPr="00350989">
              <w:rPr>
                <w:color w:val="000000"/>
                <w:sz w:val="20"/>
              </w:rPr>
              <w:t xml:space="preserve">, </w:t>
            </w:r>
            <w:proofErr w:type="spellStart"/>
            <w:r w:rsidRPr="00350989">
              <w:rPr>
                <w:color w:val="000000"/>
                <w:sz w:val="20"/>
              </w:rPr>
              <w:t>etc</w:t>
            </w:r>
            <w:proofErr w:type="spellEnd"/>
            <w:r w:rsidRPr="00350989">
              <w:rPr>
                <w:color w:val="000000"/>
                <w:sz w:val="20"/>
              </w:rPr>
              <w:t>)</w:t>
            </w:r>
          </w:p>
        </w:tc>
        <w:tc>
          <w:tcPr>
            <w:tcW w:w="733" w:type="pct"/>
            <w:shd w:val="clear" w:color="auto" w:fill="auto"/>
            <w:noWrap/>
            <w:vAlign w:val="center"/>
            <w:hideMark/>
          </w:tcPr>
          <w:p w14:paraId="09DF8201" w14:textId="77777777" w:rsidR="001E40DC" w:rsidRPr="00350989" w:rsidRDefault="001E40DC" w:rsidP="000D7F61">
            <w:pPr>
              <w:spacing w:after="0"/>
              <w:rPr>
                <w:color w:val="000000"/>
                <w:sz w:val="20"/>
              </w:rPr>
            </w:pPr>
            <w:r w:rsidRPr="00350989">
              <w:rPr>
                <w:color w:val="000000"/>
                <w:sz w:val="20"/>
              </w:rPr>
              <w:t>99</w:t>
            </w:r>
          </w:p>
        </w:tc>
        <w:tc>
          <w:tcPr>
            <w:tcW w:w="734" w:type="pct"/>
            <w:shd w:val="clear" w:color="auto" w:fill="auto"/>
            <w:noWrap/>
            <w:vAlign w:val="center"/>
            <w:hideMark/>
          </w:tcPr>
          <w:p w14:paraId="5E8B2213" w14:textId="77777777" w:rsidR="001E40DC" w:rsidRPr="00350989" w:rsidRDefault="001E40DC" w:rsidP="000D7F61">
            <w:pPr>
              <w:spacing w:after="0"/>
              <w:rPr>
                <w:color w:val="000000"/>
                <w:sz w:val="20"/>
              </w:rPr>
            </w:pPr>
            <w:r w:rsidRPr="00350989">
              <w:rPr>
                <w:color w:val="000000"/>
                <w:sz w:val="20"/>
              </w:rPr>
              <w:t>108</w:t>
            </w:r>
          </w:p>
        </w:tc>
        <w:tc>
          <w:tcPr>
            <w:tcW w:w="733" w:type="pct"/>
            <w:shd w:val="clear" w:color="auto" w:fill="auto"/>
            <w:noWrap/>
            <w:vAlign w:val="center"/>
            <w:hideMark/>
          </w:tcPr>
          <w:p w14:paraId="1AA71835" w14:textId="77777777" w:rsidR="001E40DC" w:rsidRPr="00350989" w:rsidRDefault="001E40DC" w:rsidP="000D7F61">
            <w:pPr>
              <w:spacing w:after="0"/>
              <w:rPr>
                <w:color w:val="000000"/>
                <w:sz w:val="20"/>
              </w:rPr>
            </w:pPr>
            <w:r w:rsidRPr="00350989">
              <w:rPr>
                <w:color w:val="000000"/>
                <w:sz w:val="20"/>
              </w:rPr>
              <w:t>119</w:t>
            </w:r>
          </w:p>
        </w:tc>
        <w:tc>
          <w:tcPr>
            <w:tcW w:w="734" w:type="pct"/>
            <w:shd w:val="clear" w:color="auto" w:fill="auto"/>
            <w:noWrap/>
            <w:vAlign w:val="center"/>
            <w:hideMark/>
          </w:tcPr>
          <w:p w14:paraId="175872E9" w14:textId="77777777" w:rsidR="001E40DC" w:rsidRPr="00350989" w:rsidRDefault="001E40DC" w:rsidP="000D7F61">
            <w:pPr>
              <w:spacing w:after="0"/>
              <w:rPr>
                <w:color w:val="000000"/>
                <w:sz w:val="20"/>
              </w:rPr>
            </w:pPr>
            <w:r w:rsidRPr="00350989">
              <w:rPr>
                <w:color w:val="000000"/>
                <w:sz w:val="20"/>
              </w:rPr>
              <w:t>118</w:t>
            </w:r>
          </w:p>
        </w:tc>
      </w:tr>
      <w:tr w:rsidR="009672E6" w:rsidRPr="00350989" w14:paraId="236D6EFD" w14:textId="77777777" w:rsidTr="0069684A">
        <w:trPr>
          <w:trHeight w:val="20"/>
        </w:trPr>
        <w:tc>
          <w:tcPr>
            <w:tcW w:w="2066" w:type="pct"/>
            <w:shd w:val="clear" w:color="auto" w:fill="auto"/>
            <w:noWrap/>
            <w:vAlign w:val="center"/>
            <w:hideMark/>
          </w:tcPr>
          <w:p w14:paraId="3E9ADA56" w14:textId="77777777" w:rsidR="001E40DC" w:rsidRPr="00350989" w:rsidRDefault="001E40DC" w:rsidP="000D7F61">
            <w:pPr>
              <w:spacing w:after="0"/>
              <w:rPr>
                <w:b/>
                <w:color w:val="000000"/>
                <w:sz w:val="20"/>
              </w:rPr>
            </w:pPr>
            <w:r w:rsidRPr="00350989">
              <w:rPr>
                <w:b/>
                <w:color w:val="000000"/>
                <w:sz w:val="20"/>
              </w:rPr>
              <w:t>Total</w:t>
            </w:r>
          </w:p>
        </w:tc>
        <w:tc>
          <w:tcPr>
            <w:tcW w:w="733" w:type="pct"/>
            <w:shd w:val="clear" w:color="auto" w:fill="auto"/>
            <w:noWrap/>
            <w:vAlign w:val="center"/>
            <w:hideMark/>
          </w:tcPr>
          <w:p w14:paraId="55B6DF45" w14:textId="77777777" w:rsidR="001E40DC" w:rsidRPr="00350989" w:rsidRDefault="001E40DC" w:rsidP="000D7F61">
            <w:pPr>
              <w:spacing w:after="0"/>
              <w:rPr>
                <w:b/>
                <w:color w:val="000000"/>
                <w:sz w:val="20"/>
              </w:rPr>
            </w:pPr>
            <w:r w:rsidRPr="00350989">
              <w:rPr>
                <w:b/>
                <w:color w:val="000000"/>
                <w:sz w:val="20"/>
              </w:rPr>
              <w:t>162</w:t>
            </w:r>
          </w:p>
        </w:tc>
        <w:tc>
          <w:tcPr>
            <w:tcW w:w="734" w:type="pct"/>
            <w:shd w:val="clear" w:color="auto" w:fill="auto"/>
            <w:noWrap/>
            <w:vAlign w:val="center"/>
            <w:hideMark/>
          </w:tcPr>
          <w:p w14:paraId="63A04596" w14:textId="77777777" w:rsidR="001E40DC" w:rsidRPr="00350989" w:rsidRDefault="001E40DC" w:rsidP="000D7F61">
            <w:pPr>
              <w:spacing w:after="0"/>
              <w:rPr>
                <w:b/>
                <w:color w:val="000000"/>
                <w:sz w:val="20"/>
              </w:rPr>
            </w:pPr>
            <w:r w:rsidRPr="00350989">
              <w:rPr>
                <w:b/>
                <w:color w:val="000000"/>
                <w:sz w:val="20"/>
              </w:rPr>
              <w:t>222</w:t>
            </w:r>
          </w:p>
        </w:tc>
        <w:tc>
          <w:tcPr>
            <w:tcW w:w="733" w:type="pct"/>
            <w:shd w:val="clear" w:color="auto" w:fill="auto"/>
            <w:noWrap/>
            <w:vAlign w:val="center"/>
            <w:hideMark/>
          </w:tcPr>
          <w:p w14:paraId="169A7E6F" w14:textId="77777777" w:rsidR="001E40DC" w:rsidRPr="00350989" w:rsidRDefault="001E40DC" w:rsidP="000D7F61">
            <w:pPr>
              <w:spacing w:after="0"/>
              <w:rPr>
                <w:b/>
                <w:color w:val="000000"/>
                <w:sz w:val="20"/>
              </w:rPr>
            </w:pPr>
            <w:r w:rsidRPr="00350989">
              <w:rPr>
                <w:b/>
                <w:color w:val="000000"/>
                <w:sz w:val="20"/>
              </w:rPr>
              <w:t>245</w:t>
            </w:r>
          </w:p>
        </w:tc>
        <w:tc>
          <w:tcPr>
            <w:tcW w:w="734" w:type="pct"/>
            <w:shd w:val="clear" w:color="auto" w:fill="auto"/>
            <w:noWrap/>
            <w:vAlign w:val="center"/>
            <w:hideMark/>
          </w:tcPr>
          <w:p w14:paraId="3FF1343A" w14:textId="77777777" w:rsidR="001E40DC" w:rsidRPr="00350989" w:rsidRDefault="001E40DC" w:rsidP="000D7F61">
            <w:pPr>
              <w:spacing w:after="0"/>
              <w:rPr>
                <w:b/>
                <w:color w:val="000000"/>
                <w:sz w:val="20"/>
              </w:rPr>
            </w:pPr>
            <w:r w:rsidRPr="00350989">
              <w:rPr>
                <w:b/>
                <w:color w:val="000000"/>
                <w:sz w:val="20"/>
              </w:rPr>
              <w:t>160</w:t>
            </w:r>
          </w:p>
        </w:tc>
      </w:tr>
      <w:tr w:rsidR="001E40DC" w:rsidRPr="00350989" w14:paraId="2CC010B5" w14:textId="77777777" w:rsidTr="00403827">
        <w:trPr>
          <w:trHeight w:val="20"/>
        </w:trPr>
        <w:tc>
          <w:tcPr>
            <w:tcW w:w="5000" w:type="pct"/>
            <w:gridSpan w:val="5"/>
            <w:shd w:val="clear" w:color="auto" w:fill="auto"/>
            <w:noWrap/>
            <w:vAlign w:val="center"/>
            <w:hideMark/>
          </w:tcPr>
          <w:p w14:paraId="38479230" w14:textId="77777777" w:rsidR="001E40DC" w:rsidRPr="00350989" w:rsidRDefault="001E40DC" w:rsidP="000D7F61">
            <w:pPr>
              <w:spacing w:after="0"/>
              <w:rPr>
                <w:b/>
                <w:color w:val="000000"/>
                <w:sz w:val="20"/>
              </w:rPr>
            </w:pPr>
            <w:r w:rsidRPr="00350989">
              <w:rPr>
                <w:i/>
                <w:color w:val="000000"/>
                <w:sz w:val="20"/>
              </w:rPr>
              <w:t>*Not available yet: The university did not collect the data yet</w:t>
            </w:r>
          </w:p>
        </w:tc>
      </w:tr>
    </w:tbl>
    <w:p w14:paraId="4F4A90DF" w14:textId="77777777" w:rsidR="00C256BC" w:rsidRPr="00350989" w:rsidRDefault="00C256BC" w:rsidP="000D7F61">
      <w:pPr>
        <w:spacing w:after="0"/>
        <w:rPr>
          <w:b/>
        </w:rPr>
      </w:pPr>
    </w:p>
    <w:p w14:paraId="5F4DBE5A" w14:textId="00B588B7" w:rsidR="001E40DC" w:rsidRPr="00350989" w:rsidRDefault="001E40DC" w:rsidP="000D7F61">
      <w:pPr>
        <w:spacing w:after="0"/>
        <w:rPr>
          <w:b/>
          <w:sz w:val="32"/>
        </w:rPr>
      </w:pPr>
      <w:r w:rsidRPr="00350989">
        <w:rPr>
          <w:b/>
        </w:rPr>
        <w:t>Table: Open University Cyprus – Students per disability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346"/>
        <w:gridCol w:w="1347"/>
        <w:gridCol w:w="1346"/>
        <w:gridCol w:w="1347"/>
      </w:tblGrid>
      <w:tr w:rsidR="001E40DC" w:rsidRPr="00350989" w14:paraId="6C06A0EB" w14:textId="77777777" w:rsidTr="0069684A">
        <w:trPr>
          <w:trHeight w:val="20"/>
        </w:trPr>
        <w:tc>
          <w:tcPr>
            <w:tcW w:w="3794" w:type="dxa"/>
            <w:shd w:val="clear" w:color="auto" w:fill="auto"/>
            <w:noWrap/>
            <w:vAlign w:val="center"/>
            <w:hideMark/>
          </w:tcPr>
          <w:p w14:paraId="448C714A" w14:textId="77777777" w:rsidR="001E40DC" w:rsidRPr="00350989" w:rsidRDefault="001E40DC" w:rsidP="000D7F61">
            <w:pPr>
              <w:spacing w:after="0"/>
              <w:rPr>
                <w:rFonts w:eastAsia="Times New Roman"/>
                <w:color w:val="212121"/>
                <w:sz w:val="20"/>
                <w:lang w:eastAsia="el-GR"/>
              </w:rPr>
            </w:pPr>
            <w:r w:rsidRPr="00350989">
              <w:rPr>
                <w:rFonts w:eastAsia="Times New Roman"/>
                <w:b/>
                <w:bCs/>
                <w:color w:val="000000"/>
                <w:sz w:val="20"/>
                <w:lang w:eastAsia="el-GR"/>
              </w:rPr>
              <w:t> </w:t>
            </w:r>
          </w:p>
        </w:tc>
        <w:tc>
          <w:tcPr>
            <w:tcW w:w="1346" w:type="dxa"/>
            <w:shd w:val="clear" w:color="auto" w:fill="auto"/>
            <w:noWrap/>
            <w:vAlign w:val="center"/>
            <w:hideMark/>
          </w:tcPr>
          <w:p w14:paraId="5AE3019E" w14:textId="77777777" w:rsidR="001E40DC" w:rsidRPr="00350989" w:rsidRDefault="001E40DC" w:rsidP="000D7F61">
            <w:pPr>
              <w:spacing w:after="0"/>
              <w:rPr>
                <w:rFonts w:eastAsia="Times New Roman"/>
                <w:color w:val="212121"/>
                <w:sz w:val="20"/>
                <w:lang w:eastAsia="el-GR"/>
              </w:rPr>
            </w:pPr>
            <w:r w:rsidRPr="00350989">
              <w:rPr>
                <w:rFonts w:eastAsia="Times New Roman"/>
                <w:b/>
                <w:bCs/>
                <w:color w:val="000000"/>
                <w:sz w:val="20"/>
                <w:lang w:eastAsia="el-GR"/>
              </w:rPr>
              <w:t>2011-12</w:t>
            </w:r>
          </w:p>
        </w:tc>
        <w:tc>
          <w:tcPr>
            <w:tcW w:w="1347" w:type="dxa"/>
            <w:shd w:val="clear" w:color="auto" w:fill="auto"/>
            <w:noWrap/>
            <w:vAlign w:val="center"/>
            <w:hideMark/>
          </w:tcPr>
          <w:p w14:paraId="51C1ED27" w14:textId="77777777" w:rsidR="001E40DC" w:rsidRPr="00350989" w:rsidRDefault="001E40DC" w:rsidP="000D7F61">
            <w:pPr>
              <w:spacing w:after="0"/>
              <w:rPr>
                <w:rFonts w:eastAsia="Times New Roman"/>
                <w:color w:val="212121"/>
                <w:sz w:val="20"/>
                <w:lang w:eastAsia="el-GR"/>
              </w:rPr>
            </w:pPr>
            <w:r w:rsidRPr="00350989">
              <w:rPr>
                <w:rFonts w:eastAsia="Times New Roman"/>
                <w:b/>
                <w:bCs/>
                <w:color w:val="000000"/>
                <w:sz w:val="20"/>
                <w:lang w:eastAsia="el-GR"/>
              </w:rPr>
              <w:t>2012-13</w:t>
            </w:r>
          </w:p>
        </w:tc>
        <w:tc>
          <w:tcPr>
            <w:tcW w:w="1346" w:type="dxa"/>
            <w:shd w:val="clear" w:color="auto" w:fill="auto"/>
            <w:noWrap/>
            <w:vAlign w:val="center"/>
            <w:hideMark/>
          </w:tcPr>
          <w:p w14:paraId="17B3DA72" w14:textId="77777777" w:rsidR="001E40DC" w:rsidRPr="00350989" w:rsidRDefault="001E40DC" w:rsidP="000D7F61">
            <w:pPr>
              <w:spacing w:after="0"/>
              <w:rPr>
                <w:rFonts w:eastAsia="Times New Roman"/>
                <w:color w:val="212121"/>
                <w:sz w:val="20"/>
                <w:lang w:eastAsia="el-GR"/>
              </w:rPr>
            </w:pPr>
            <w:r w:rsidRPr="00350989">
              <w:rPr>
                <w:rFonts w:eastAsia="Times New Roman"/>
                <w:b/>
                <w:bCs/>
                <w:color w:val="000000"/>
                <w:sz w:val="20"/>
                <w:lang w:eastAsia="el-GR"/>
              </w:rPr>
              <w:t>2013-14</w:t>
            </w:r>
          </w:p>
        </w:tc>
        <w:tc>
          <w:tcPr>
            <w:tcW w:w="1347" w:type="dxa"/>
            <w:shd w:val="clear" w:color="auto" w:fill="auto"/>
            <w:noWrap/>
            <w:vAlign w:val="center"/>
            <w:hideMark/>
          </w:tcPr>
          <w:p w14:paraId="69D002C1" w14:textId="77777777" w:rsidR="001E40DC" w:rsidRPr="00350989" w:rsidRDefault="001E40DC" w:rsidP="000D7F61">
            <w:pPr>
              <w:spacing w:after="0"/>
              <w:rPr>
                <w:rFonts w:eastAsia="Times New Roman"/>
                <w:color w:val="212121"/>
                <w:sz w:val="20"/>
                <w:lang w:eastAsia="el-GR"/>
              </w:rPr>
            </w:pPr>
            <w:r w:rsidRPr="00350989">
              <w:rPr>
                <w:rFonts w:eastAsia="Times New Roman"/>
                <w:b/>
                <w:bCs/>
                <w:color w:val="000000"/>
                <w:sz w:val="20"/>
                <w:lang w:eastAsia="el-GR"/>
              </w:rPr>
              <w:t>2014-15</w:t>
            </w:r>
          </w:p>
        </w:tc>
      </w:tr>
      <w:tr w:rsidR="009672E6" w:rsidRPr="00350989" w14:paraId="031BB9C7" w14:textId="77777777" w:rsidTr="0069684A">
        <w:trPr>
          <w:trHeight w:val="20"/>
        </w:trPr>
        <w:tc>
          <w:tcPr>
            <w:tcW w:w="3794" w:type="dxa"/>
            <w:shd w:val="clear" w:color="auto" w:fill="auto"/>
            <w:noWrap/>
            <w:vAlign w:val="center"/>
            <w:hideMark/>
          </w:tcPr>
          <w:p w14:paraId="55584C68" w14:textId="77777777" w:rsidR="001E40DC" w:rsidRPr="00350989" w:rsidRDefault="001E40DC" w:rsidP="000D7F61">
            <w:pPr>
              <w:spacing w:after="0"/>
              <w:rPr>
                <w:color w:val="212121"/>
                <w:sz w:val="20"/>
              </w:rPr>
            </w:pPr>
            <w:r w:rsidRPr="00350989">
              <w:rPr>
                <w:color w:val="000000"/>
                <w:sz w:val="20"/>
              </w:rPr>
              <w:t>Hearing Impairment</w:t>
            </w:r>
          </w:p>
        </w:tc>
        <w:tc>
          <w:tcPr>
            <w:tcW w:w="1346" w:type="dxa"/>
            <w:shd w:val="clear" w:color="auto" w:fill="auto"/>
            <w:noWrap/>
            <w:vAlign w:val="center"/>
            <w:hideMark/>
          </w:tcPr>
          <w:p w14:paraId="3778277F" w14:textId="77777777" w:rsidR="001E40DC" w:rsidRPr="00350989" w:rsidRDefault="001E40DC" w:rsidP="000D7F61">
            <w:pPr>
              <w:spacing w:after="0"/>
              <w:rPr>
                <w:color w:val="212121"/>
                <w:sz w:val="20"/>
              </w:rPr>
            </w:pPr>
            <w:r w:rsidRPr="00350989">
              <w:rPr>
                <w:color w:val="000000"/>
                <w:sz w:val="20"/>
              </w:rPr>
              <w:t>3</w:t>
            </w:r>
          </w:p>
        </w:tc>
        <w:tc>
          <w:tcPr>
            <w:tcW w:w="1347" w:type="dxa"/>
            <w:shd w:val="clear" w:color="auto" w:fill="auto"/>
            <w:noWrap/>
            <w:vAlign w:val="center"/>
            <w:hideMark/>
          </w:tcPr>
          <w:p w14:paraId="178FF454" w14:textId="77777777" w:rsidR="001E40DC" w:rsidRPr="00350989" w:rsidRDefault="001E40DC" w:rsidP="000D7F61">
            <w:pPr>
              <w:spacing w:after="0"/>
              <w:rPr>
                <w:color w:val="212121"/>
                <w:sz w:val="20"/>
              </w:rPr>
            </w:pPr>
            <w:r w:rsidRPr="00350989">
              <w:rPr>
                <w:color w:val="000000"/>
                <w:sz w:val="20"/>
              </w:rPr>
              <w:t>4</w:t>
            </w:r>
          </w:p>
        </w:tc>
        <w:tc>
          <w:tcPr>
            <w:tcW w:w="1346" w:type="dxa"/>
            <w:shd w:val="clear" w:color="auto" w:fill="auto"/>
            <w:noWrap/>
            <w:vAlign w:val="center"/>
            <w:hideMark/>
          </w:tcPr>
          <w:p w14:paraId="089CEF0B" w14:textId="77777777" w:rsidR="001E40DC" w:rsidRPr="00350989" w:rsidRDefault="001E40DC" w:rsidP="000D7F61">
            <w:pPr>
              <w:spacing w:after="0"/>
              <w:rPr>
                <w:color w:val="212121"/>
                <w:sz w:val="20"/>
              </w:rPr>
            </w:pPr>
            <w:r w:rsidRPr="00350989">
              <w:rPr>
                <w:color w:val="000000"/>
                <w:sz w:val="20"/>
              </w:rPr>
              <w:t>3</w:t>
            </w:r>
          </w:p>
        </w:tc>
        <w:tc>
          <w:tcPr>
            <w:tcW w:w="1347" w:type="dxa"/>
            <w:shd w:val="clear" w:color="auto" w:fill="auto"/>
            <w:noWrap/>
            <w:vAlign w:val="center"/>
            <w:hideMark/>
          </w:tcPr>
          <w:p w14:paraId="078B3923" w14:textId="77777777" w:rsidR="001E40DC" w:rsidRPr="00350989" w:rsidRDefault="001E40DC" w:rsidP="000D7F61">
            <w:pPr>
              <w:spacing w:after="0"/>
              <w:rPr>
                <w:color w:val="212121"/>
                <w:sz w:val="20"/>
              </w:rPr>
            </w:pPr>
            <w:r w:rsidRPr="00350989">
              <w:rPr>
                <w:color w:val="000000"/>
                <w:sz w:val="20"/>
              </w:rPr>
              <w:t>1</w:t>
            </w:r>
          </w:p>
        </w:tc>
      </w:tr>
      <w:tr w:rsidR="009672E6" w:rsidRPr="00350989" w14:paraId="0A718097" w14:textId="77777777" w:rsidTr="0069684A">
        <w:trPr>
          <w:trHeight w:val="20"/>
        </w:trPr>
        <w:tc>
          <w:tcPr>
            <w:tcW w:w="3794" w:type="dxa"/>
            <w:shd w:val="clear" w:color="auto" w:fill="auto"/>
            <w:noWrap/>
            <w:vAlign w:val="center"/>
            <w:hideMark/>
          </w:tcPr>
          <w:p w14:paraId="59B2B466" w14:textId="77777777" w:rsidR="001E40DC" w:rsidRPr="00350989" w:rsidRDefault="001E40DC" w:rsidP="000D7F61">
            <w:pPr>
              <w:spacing w:after="0"/>
              <w:rPr>
                <w:color w:val="212121"/>
                <w:sz w:val="20"/>
              </w:rPr>
            </w:pPr>
            <w:r w:rsidRPr="00350989">
              <w:rPr>
                <w:color w:val="000000"/>
                <w:sz w:val="20"/>
              </w:rPr>
              <w:t>Visual Impairment</w:t>
            </w:r>
          </w:p>
        </w:tc>
        <w:tc>
          <w:tcPr>
            <w:tcW w:w="1346" w:type="dxa"/>
            <w:shd w:val="clear" w:color="auto" w:fill="auto"/>
            <w:noWrap/>
            <w:vAlign w:val="center"/>
            <w:hideMark/>
          </w:tcPr>
          <w:p w14:paraId="37BF943C" w14:textId="77777777" w:rsidR="001E40DC" w:rsidRPr="00350989" w:rsidRDefault="001E40DC" w:rsidP="000D7F61">
            <w:pPr>
              <w:spacing w:after="0"/>
              <w:rPr>
                <w:color w:val="212121"/>
                <w:sz w:val="20"/>
              </w:rPr>
            </w:pPr>
            <w:r w:rsidRPr="00350989">
              <w:rPr>
                <w:color w:val="000000"/>
                <w:sz w:val="20"/>
              </w:rPr>
              <w:t>6</w:t>
            </w:r>
          </w:p>
        </w:tc>
        <w:tc>
          <w:tcPr>
            <w:tcW w:w="1347" w:type="dxa"/>
            <w:shd w:val="clear" w:color="auto" w:fill="auto"/>
            <w:noWrap/>
            <w:vAlign w:val="center"/>
            <w:hideMark/>
          </w:tcPr>
          <w:p w14:paraId="4BA690D9" w14:textId="77777777" w:rsidR="001E40DC" w:rsidRPr="00350989" w:rsidRDefault="001E40DC" w:rsidP="000D7F61">
            <w:pPr>
              <w:spacing w:after="0"/>
              <w:rPr>
                <w:color w:val="212121"/>
                <w:sz w:val="20"/>
              </w:rPr>
            </w:pPr>
            <w:r w:rsidRPr="00350989">
              <w:rPr>
                <w:color w:val="000000"/>
                <w:sz w:val="20"/>
              </w:rPr>
              <w:t>4</w:t>
            </w:r>
          </w:p>
        </w:tc>
        <w:tc>
          <w:tcPr>
            <w:tcW w:w="1346" w:type="dxa"/>
            <w:shd w:val="clear" w:color="auto" w:fill="auto"/>
            <w:noWrap/>
            <w:vAlign w:val="center"/>
            <w:hideMark/>
          </w:tcPr>
          <w:p w14:paraId="500FA082" w14:textId="77777777" w:rsidR="001E40DC" w:rsidRPr="00350989" w:rsidRDefault="001E40DC" w:rsidP="000D7F61">
            <w:pPr>
              <w:spacing w:after="0"/>
              <w:rPr>
                <w:color w:val="212121"/>
                <w:sz w:val="20"/>
              </w:rPr>
            </w:pPr>
            <w:r w:rsidRPr="00350989">
              <w:rPr>
                <w:color w:val="000000"/>
                <w:sz w:val="20"/>
              </w:rPr>
              <w:t>5</w:t>
            </w:r>
          </w:p>
        </w:tc>
        <w:tc>
          <w:tcPr>
            <w:tcW w:w="1347" w:type="dxa"/>
            <w:shd w:val="clear" w:color="auto" w:fill="auto"/>
            <w:noWrap/>
            <w:vAlign w:val="center"/>
            <w:hideMark/>
          </w:tcPr>
          <w:p w14:paraId="028D869A" w14:textId="77777777" w:rsidR="001E40DC" w:rsidRPr="00350989" w:rsidRDefault="001E40DC" w:rsidP="000D7F61">
            <w:pPr>
              <w:spacing w:after="0"/>
              <w:rPr>
                <w:color w:val="212121"/>
                <w:sz w:val="20"/>
              </w:rPr>
            </w:pPr>
            <w:r w:rsidRPr="00350989">
              <w:rPr>
                <w:color w:val="000000"/>
                <w:sz w:val="20"/>
              </w:rPr>
              <w:t>2</w:t>
            </w:r>
          </w:p>
        </w:tc>
      </w:tr>
      <w:tr w:rsidR="009672E6" w:rsidRPr="00350989" w14:paraId="355383F6" w14:textId="77777777" w:rsidTr="0069684A">
        <w:trPr>
          <w:trHeight w:val="20"/>
        </w:trPr>
        <w:tc>
          <w:tcPr>
            <w:tcW w:w="3794" w:type="dxa"/>
            <w:shd w:val="clear" w:color="auto" w:fill="auto"/>
            <w:noWrap/>
            <w:vAlign w:val="center"/>
            <w:hideMark/>
          </w:tcPr>
          <w:p w14:paraId="3F5ECEA4" w14:textId="77777777" w:rsidR="001E40DC" w:rsidRPr="00350989" w:rsidRDefault="001E40DC" w:rsidP="000D7F61">
            <w:pPr>
              <w:spacing w:after="0"/>
              <w:rPr>
                <w:color w:val="212121"/>
                <w:sz w:val="20"/>
              </w:rPr>
            </w:pPr>
            <w:r w:rsidRPr="00350989">
              <w:rPr>
                <w:color w:val="000000"/>
                <w:sz w:val="20"/>
              </w:rPr>
              <w:t>Physical Disabilities</w:t>
            </w:r>
          </w:p>
        </w:tc>
        <w:tc>
          <w:tcPr>
            <w:tcW w:w="1346" w:type="dxa"/>
            <w:shd w:val="clear" w:color="auto" w:fill="auto"/>
            <w:noWrap/>
            <w:vAlign w:val="center"/>
            <w:hideMark/>
          </w:tcPr>
          <w:p w14:paraId="332A3360" w14:textId="77777777" w:rsidR="001E40DC" w:rsidRPr="00350989" w:rsidRDefault="001E40DC" w:rsidP="000D7F61">
            <w:pPr>
              <w:spacing w:after="0"/>
              <w:rPr>
                <w:color w:val="212121"/>
                <w:sz w:val="20"/>
              </w:rPr>
            </w:pPr>
            <w:r w:rsidRPr="00350989">
              <w:rPr>
                <w:color w:val="000000"/>
                <w:sz w:val="20"/>
              </w:rPr>
              <w:t>5</w:t>
            </w:r>
          </w:p>
        </w:tc>
        <w:tc>
          <w:tcPr>
            <w:tcW w:w="1347" w:type="dxa"/>
            <w:shd w:val="clear" w:color="auto" w:fill="auto"/>
            <w:noWrap/>
            <w:vAlign w:val="center"/>
            <w:hideMark/>
          </w:tcPr>
          <w:p w14:paraId="7501B134" w14:textId="77777777" w:rsidR="001E40DC" w:rsidRPr="00350989" w:rsidRDefault="001E40DC" w:rsidP="000D7F61">
            <w:pPr>
              <w:spacing w:after="0"/>
              <w:rPr>
                <w:color w:val="212121"/>
                <w:sz w:val="20"/>
              </w:rPr>
            </w:pPr>
            <w:r w:rsidRPr="00350989">
              <w:rPr>
                <w:color w:val="000000"/>
                <w:sz w:val="20"/>
              </w:rPr>
              <w:t>9</w:t>
            </w:r>
          </w:p>
        </w:tc>
        <w:tc>
          <w:tcPr>
            <w:tcW w:w="1346" w:type="dxa"/>
            <w:shd w:val="clear" w:color="auto" w:fill="auto"/>
            <w:noWrap/>
            <w:vAlign w:val="center"/>
            <w:hideMark/>
          </w:tcPr>
          <w:p w14:paraId="5CF81518" w14:textId="77777777" w:rsidR="001E40DC" w:rsidRPr="00350989" w:rsidRDefault="001E40DC" w:rsidP="000D7F61">
            <w:pPr>
              <w:spacing w:after="0"/>
              <w:rPr>
                <w:color w:val="212121"/>
                <w:sz w:val="20"/>
              </w:rPr>
            </w:pPr>
            <w:r w:rsidRPr="00350989">
              <w:rPr>
                <w:color w:val="000000"/>
                <w:sz w:val="20"/>
              </w:rPr>
              <w:t>11</w:t>
            </w:r>
          </w:p>
        </w:tc>
        <w:tc>
          <w:tcPr>
            <w:tcW w:w="1347" w:type="dxa"/>
            <w:shd w:val="clear" w:color="auto" w:fill="auto"/>
            <w:noWrap/>
            <w:vAlign w:val="center"/>
            <w:hideMark/>
          </w:tcPr>
          <w:p w14:paraId="344E27A4" w14:textId="77777777" w:rsidR="001E40DC" w:rsidRPr="00350989" w:rsidRDefault="001E40DC" w:rsidP="000D7F61">
            <w:pPr>
              <w:spacing w:after="0"/>
              <w:rPr>
                <w:color w:val="212121"/>
                <w:sz w:val="20"/>
              </w:rPr>
            </w:pPr>
            <w:r w:rsidRPr="00350989">
              <w:rPr>
                <w:color w:val="000000"/>
                <w:sz w:val="20"/>
              </w:rPr>
              <w:t>4</w:t>
            </w:r>
          </w:p>
        </w:tc>
      </w:tr>
      <w:tr w:rsidR="009672E6" w:rsidRPr="00350989" w14:paraId="7F49F086" w14:textId="77777777" w:rsidTr="0069684A">
        <w:trPr>
          <w:trHeight w:val="20"/>
        </w:trPr>
        <w:tc>
          <w:tcPr>
            <w:tcW w:w="3794" w:type="dxa"/>
            <w:shd w:val="clear" w:color="auto" w:fill="auto"/>
            <w:noWrap/>
            <w:vAlign w:val="center"/>
            <w:hideMark/>
          </w:tcPr>
          <w:p w14:paraId="5FFA55D9" w14:textId="77777777" w:rsidR="001E40DC" w:rsidRPr="00350989" w:rsidRDefault="001E40DC" w:rsidP="000D7F61">
            <w:pPr>
              <w:spacing w:after="0"/>
              <w:rPr>
                <w:color w:val="000000"/>
                <w:sz w:val="20"/>
              </w:rPr>
            </w:pPr>
            <w:r w:rsidRPr="00350989">
              <w:rPr>
                <w:color w:val="000000"/>
                <w:sz w:val="20"/>
              </w:rPr>
              <w:t xml:space="preserve">Intellectual / Emotional Disabilities </w:t>
            </w:r>
          </w:p>
        </w:tc>
        <w:tc>
          <w:tcPr>
            <w:tcW w:w="1346" w:type="dxa"/>
            <w:shd w:val="clear" w:color="auto" w:fill="auto"/>
            <w:noWrap/>
            <w:vAlign w:val="center"/>
            <w:hideMark/>
          </w:tcPr>
          <w:p w14:paraId="21BC4BBD" w14:textId="77777777" w:rsidR="001E40DC" w:rsidRPr="00350989" w:rsidRDefault="001E40DC" w:rsidP="000D7F61">
            <w:pPr>
              <w:spacing w:after="0"/>
              <w:rPr>
                <w:color w:val="212121"/>
                <w:sz w:val="20"/>
              </w:rPr>
            </w:pPr>
            <w:r w:rsidRPr="00350989">
              <w:rPr>
                <w:color w:val="000000"/>
                <w:sz w:val="20"/>
              </w:rPr>
              <w:t>0 </w:t>
            </w:r>
          </w:p>
        </w:tc>
        <w:tc>
          <w:tcPr>
            <w:tcW w:w="1347" w:type="dxa"/>
            <w:shd w:val="clear" w:color="auto" w:fill="auto"/>
            <w:noWrap/>
            <w:vAlign w:val="center"/>
            <w:hideMark/>
          </w:tcPr>
          <w:p w14:paraId="4FB24656" w14:textId="77777777" w:rsidR="001E40DC" w:rsidRPr="00350989" w:rsidRDefault="001E40DC" w:rsidP="000D7F61">
            <w:pPr>
              <w:spacing w:after="0"/>
              <w:rPr>
                <w:color w:val="212121"/>
                <w:sz w:val="20"/>
              </w:rPr>
            </w:pPr>
            <w:r w:rsidRPr="00350989">
              <w:rPr>
                <w:color w:val="000000"/>
                <w:sz w:val="20"/>
              </w:rPr>
              <w:t>2</w:t>
            </w:r>
          </w:p>
        </w:tc>
        <w:tc>
          <w:tcPr>
            <w:tcW w:w="1346" w:type="dxa"/>
            <w:shd w:val="clear" w:color="auto" w:fill="auto"/>
            <w:noWrap/>
            <w:vAlign w:val="center"/>
            <w:hideMark/>
          </w:tcPr>
          <w:p w14:paraId="05411F52" w14:textId="77777777" w:rsidR="001E40DC" w:rsidRPr="00350989" w:rsidRDefault="001E40DC" w:rsidP="000D7F61">
            <w:pPr>
              <w:spacing w:after="0"/>
              <w:rPr>
                <w:color w:val="212121"/>
                <w:sz w:val="20"/>
              </w:rPr>
            </w:pPr>
            <w:r w:rsidRPr="00350989">
              <w:rPr>
                <w:color w:val="000000"/>
                <w:sz w:val="20"/>
              </w:rPr>
              <w:t>1</w:t>
            </w:r>
          </w:p>
        </w:tc>
        <w:tc>
          <w:tcPr>
            <w:tcW w:w="1347" w:type="dxa"/>
            <w:shd w:val="clear" w:color="auto" w:fill="auto"/>
            <w:noWrap/>
            <w:vAlign w:val="center"/>
            <w:hideMark/>
          </w:tcPr>
          <w:p w14:paraId="2E5B4A9B" w14:textId="77777777" w:rsidR="001E40DC" w:rsidRPr="00350989" w:rsidRDefault="001E40DC" w:rsidP="000D7F61">
            <w:pPr>
              <w:spacing w:after="0"/>
              <w:rPr>
                <w:color w:val="212121"/>
                <w:sz w:val="20"/>
              </w:rPr>
            </w:pPr>
            <w:r w:rsidRPr="00350989">
              <w:rPr>
                <w:color w:val="000000"/>
                <w:sz w:val="20"/>
              </w:rPr>
              <w:t>2</w:t>
            </w:r>
          </w:p>
        </w:tc>
      </w:tr>
      <w:tr w:rsidR="009672E6" w:rsidRPr="00350989" w14:paraId="2FE25186" w14:textId="77777777" w:rsidTr="0069684A">
        <w:trPr>
          <w:trHeight w:val="20"/>
        </w:trPr>
        <w:tc>
          <w:tcPr>
            <w:tcW w:w="3794" w:type="dxa"/>
            <w:shd w:val="clear" w:color="auto" w:fill="auto"/>
            <w:noWrap/>
            <w:vAlign w:val="center"/>
            <w:hideMark/>
          </w:tcPr>
          <w:p w14:paraId="529D4B2D" w14:textId="77777777" w:rsidR="001E40DC" w:rsidRPr="00350989" w:rsidRDefault="001E40DC" w:rsidP="000D7F61">
            <w:pPr>
              <w:spacing w:after="0"/>
              <w:rPr>
                <w:color w:val="212121"/>
                <w:sz w:val="20"/>
              </w:rPr>
            </w:pPr>
            <w:r w:rsidRPr="00350989">
              <w:rPr>
                <w:color w:val="000000"/>
                <w:sz w:val="20"/>
              </w:rPr>
              <w:t>Speech &amp; Language Difficulties</w:t>
            </w:r>
          </w:p>
        </w:tc>
        <w:tc>
          <w:tcPr>
            <w:tcW w:w="1346" w:type="dxa"/>
            <w:shd w:val="clear" w:color="auto" w:fill="auto"/>
            <w:noWrap/>
            <w:vAlign w:val="center"/>
            <w:hideMark/>
          </w:tcPr>
          <w:p w14:paraId="7759D8FB" w14:textId="77777777" w:rsidR="001E40DC" w:rsidRPr="00350989" w:rsidRDefault="001E40DC" w:rsidP="000D7F61">
            <w:pPr>
              <w:spacing w:after="0"/>
              <w:rPr>
                <w:color w:val="212121"/>
                <w:sz w:val="20"/>
              </w:rPr>
            </w:pPr>
            <w:r w:rsidRPr="00350989">
              <w:rPr>
                <w:color w:val="000000"/>
                <w:sz w:val="20"/>
              </w:rPr>
              <w:t>2</w:t>
            </w:r>
          </w:p>
        </w:tc>
        <w:tc>
          <w:tcPr>
            <w:tcW w:w="1347" w:type="dxa"/>
            <w:shd w:val="clear" w:color="auto" w:fill="auto"/>
            <w:noWrap/>
            <w:vAlign w:val="center"/>
            <w:hideMark/>
          </w:tcPr>
          <w:p w14:paraId="4CE61B01" w14:textId="77777777" w:rsidR="001E40DC" w:rsidRPr="00350989" w:rsidRDefault="001E40DC" w:rsidP="000D7F61">
            <w:pPr>
              <w:spacing w:after="0"/>
              <w:rPr>
                <w:color w:val="212121"/>
                <w:sz w:val="20"/>
              </w:rPr>
            </w:pPr>
            <w:r w:rsidRPr="00350989">
              <w:rPr>
                <w:color w:val="000000"/>
                <w:sz w:val="20"/>
              </w:rPr>
              <w:t>7</w:t>
            </w:r>
          </w:p>
        </w:tc>
        <w:tc>
          <w:tcPr>
            <w:tcW w:w="1346" w:type="dxa"/>
            <w:shd w:val="clear" w:color="auto" w:fill="auto"/>
            <w:noWrap/>
            <w:vAlign w:val="center"/>
            <w:hideMark/>
          </w:tcPr>
          <w:p w14:paraId="32A6DF17" w14:textId="77777777" w:rsidR="001E40DC" w:rsidRPr="00350989" w:rsidRDefault="001E40DC" w:rsidP="000D7F61">
            <w:pPr>
              <w:spacing w:after="0"/>
              <w:rPr>
                <w:color w:val="212121"/>
                <w:sz w:val="20"/>
              </w:rPr>
            </w:pPr>
            <w:r w:rsidRPr="00350989">
              <w:rPr>
                <w:color w:val="000000"/>
                <w:sz w:val="20"/>
              </w:rPr>
              <w:t>7</w:t>
            </w:r>
          </w:p>
        </w:tc>
        <w:tc>
          <w:tcPr>
            <w:tcW w:w="1347" w:type="dxa"/>
            <w:shd w:val="clear" w:color="auto" w:fill="auto"/>
            <w:noWrap/>
            <w:vAlign w:val="center"/>
            <w:hideMark/>
          </w:tcPr>
          <w:p w14:paraId="46C93425" w14:textId="77777777" w:rsidR="001E40DC" w:rsidRPr="00350989" w:rsidRDefault="001E40DC" w:rsidP="000D7F61">
            <w:pPr>
              <w:spacing w:after="0"/>
              <w:rPr>
                <w:color w:val="212121"/>
                <w:sz w:val="20"/>
              </w:rPr>
            </w:pPr>
            <w:r w:rsidRPr="00350989">
              <w:rPr>
                <w:color w:val="000000"/>
                <w:sz w:val="20"/>
              </w:rPr>
              <w:t>5</w:t>
            </w:r>
          </w:p>
        </w:tc>
      </w:tr>
      <w:tr w:rsidR="009672E6" w:rsidRPr="00350989" w14:paraId="6656150C" w14:textId="77777777" w:rsidTr="0069684A">
        <w:trPr>
          <w:trHeight w:val="20"/>
        </w:trPr>
        <w:tc>
          <w:tcPr>
            <w:tcW w:w="3794" w:type="dxa"/>
            <w:shd w:val="clear" w:color="auto" w:fill="auto"/>
            <w:noWrap/>
            <w:vAlign w:val="center"/>
            <w:hideMark/>
          </w:tcPr>
          <w:p w14:paraId="185E529B" w14:textId="77777777" w:rsidR="001E40DC" w:rsidRPr="00350989" w:rsidRDefault="001E40DC" w:rsidP="000D7F61">
            <w:pPr>
              <w:spacing w:after="0"/>
              <w:rPr>
                <w:color w:val="212121"/>
                <w:sz w:val="20"/>
              </w:rPr>
            </w:pPr>
            <w:r w:rsidRPr="00350989">
              <w:rPr>
                <w:color w:val="000000"/>
                <w:sz w:val="20"/>
              </w:rPr>
              <w:t xml:space="preserve">Epilepsy </w:t>
            </w:r>
          </w:p>
        </w:tc>
        <w:tc>
          <w:tcPr>
            <w:tcW w:w="1346" w:type="dxa"/>
            <w:shd w:val="clear" w:color="auto" w:fill="auto"/>
            <w:noWrap/>
            <w:vAlign w:val="center"/>
            <w:hideMark/>
          </w:tcPr>
          <w:p w14:paraId="7593BE60" w14:textId="77777777" w:rsidR="001E40DC" w:rsidRPr="00350989" w:rsidRDefault="001E40DC" w:rsidP="000D7F61">
            <w:pPr>
              <w:spacing w:after="0"/>
              <w:rPr>
                <w:color w:val="212121"/>
                <w:sz w:val="20"/>
              </w:rPr>
            </w:pPr>
            <w:r w:rsidRPr="00350989">
              <w:rPr>
                <w:color w:val="000000"/>
                <w:sz w:val="20"/>
              </w:rPr>
              <w:t>1</w:t>
            </w:r>
          </w:p>
        </w:tc>
        <w:tc>
          <w:tcPr>
            <w:tcW w:w="1347" w:type="dxa"/>
            <w:shd w:val="clear" w:color="auto" w:fill="auto"/>
            <w:noWrap/>
            <w:vAlign w:val="center"/>
            <w:hideMark/>
          </w:tcPr>
          <w:p w14:paraId="3FFB6050" w14:textId="77777777" w:rsidR="001E40DC" w:rsidRPr="00350989" w:rsidRDefault="001E40DC" w:rsidP="000D7F61">
            <w:pPr>
              <w:spacing w:after="0"/>
              <w:rPr>
                <w:color w:val="212121"/>
                <w:sz w:val="20"/>
              </w:rPr>
            </w:pPr>
            <w:r w:rsidRPr="00350989">
              <w:rPr>
                <w:color w:val="000000"/>
                <w:sz w:val="20"/>
              </w:rPr>
              <w:t>2</w:t>
            </w:r>
          </w:p>
        </w:tc>
        <w:tc>
          <w:tcPr>
            <w:tcW w:w="1346" w:type="dxa"/>
            <w:shd w:val="clear" w:color="auto" w:fill="auto"/>
            <w:noWrap/>
            <w:vAlign w:val="center"/>
            <w:hideMark/>
          </w:tcPr>
          <w:p w14:paraId="29AAA538" w14:textId="77777777" w:rsidR="001E40DC" w:rsidRPr="00350989" w:rsidRDefault="001E40DC" w:rsidP="000D7F61">
            <w:pPr>
              <w:spacing w:after="0"/>
              <w:rPr>
                <w:color w:val="212121"/>
                <w:sz w:val="20"/>
              </w:rPr>
            </w:pPr>
            <w:r w:rsidRPr="00350989">
              <w:rPr>
                <w:color w:val="000000"/>
                <w:sz w:val="20"/>
              </w:rPr>
              <w:t>2</w:t>
            </w:r>
          </w:p>
        </w:tc>
        <w:tc>
          <w:tcPr>
            <w:tcW w:w="1347" w:type="dxa"/>
            <w:shd w:val="clear" w:color="auto" w:fill="auto"/>
            <w:noWrap/>
            <w:vAlign w:val="center"/>
            <w:hideMark/>
          </w:tcPr>
          <w:p w14:paraId="12912C1D" w14:textId="77777777" w:rsidR="001E40DC" w:rsidRPr="00350989" w:rsidRDefault="001E40DC" w:rsidP="000D7F61">
            <w:pPr>
              <w:spacing w:after="0"/>
              <w:rPr>
                <w:color w:val="212121"/>
                <w:sz w:val="20"/>
              </w:rPr>
            </w:pPr>
            <w:r w:rsidRPr="00350989">
              <w:rPr>
                <w:color w:val="000000"/>
                <w:sz w:val="20"/>
              </w:rPr>
              <w:t>0 </w:t>
            </w:r>
          </w:p>
        </w:tc>
      </w:tr>
      <w:tr w:rsidR="009672E6" w:rsidRPr="00350989" w14:paraId="4665DB6A" w14:textId="77777777" w:rsidTr="0069684A">
        <w:trPr>
          <w:trHeight w:val="20"/>
        </w:trPr>
        <w:tc>
          <w:tcPr>
            <w:tcW w:w="3794" w:type="dxa"/>
            <w:shd w:val="clear" w:color="auto" w:fill="auto"/>
            <w:noWrap/>
            <w:vAlign w:val="center"/>
            <w:hideMark/>
          </w:tcPr>
          <w:p w14:paraId="0F725643" w14:textId="77777777" w:rsidR="001E40DC" w:rsidRPr="00350989" w:rsidRDefault="001E40DC" w:rsidP="000D7F61">
            <w:pPr>
              <w:spacing w:after="0"/>
              <w:rPr>
                <w:color w:val="212121"/>
                <w:sz w:val="20"/>
              </w:rPr>
            </w:pPr>
            <w:r w:rsidRPr="00350989">
              <w:rPr>
                <w:color w:val="000000"/>
                <w:sz w:val="20"/>
              </w:rPr>
              <w:t xml:space="preserve">MLS </w:t>
            </w:r>
          </w:p>
        </w:tc>
        <w:tc>
          <w:tcPr>
            <w:tcW w:w="1346" w:type="dxa"/>
            <w:shd w:val="clear" w:color="auto" w:fill="auto"/>
            <w:noWrap/>
            <w:vAlign w:val="center"/>
            <w:hideMark/>
          </w:tcPr>
          <w:p w14:paraId="30640735" w14:textId="77777777" w:rsidR="001E40DC" w:rsidRPr="00350989" w:rsidRDefault="001E40DC" w:rsidP="000D7F61">
            <w:pPr>
              <w:spacing w:after="0"/>
              <w:rPr>
                <w:color w:val="212121"/>
                <w:sz w:val="20"/>
              </w:rPr>
            </w:pPr>
            <w:r w:rsidRPr="00350989">
              <w:rPr>
                <w:color w:val="000000"/>
                <w:sz w:val="20"/>
              </w:rPr>
              <w:t>0 </w:t>
            </w:r>
          </w:p>
        </w:tc>
        <w:tc>
          <w:tcPr>
            <w:tcW w:w="1347" w:type="dxa"/>
            <w:shd w:val="clear" w:color="auto" w:fill="auto"/>
            <w:noWrap/>
            <w:vAlign w:val="center"/>
            <w:hideMark/>
          </w:tcPr>
          <w:p w14:paraId="08753EF2" w14:textId="77777777" w:rsidR="001E40DC" w:rsidRPr="00350989" w:rsidRDefault="001E40DC" w:rsidP="000D7F61">
            <w:pPr>
              <w:spacing w:after="0"/>
              <w:rPr>
                <w:color w:val="212121"/>
                <w:sz w:val="20"/>
              </w:rPr>
            </w:pPr>
            <w:r w:rsidRPr="00350989">
              <w:rPr>
                <w:color w:val="000000"/>
                <w:sz w:val="20"/>
              </w:rPr>
              <w:t>3</w:t>
            </w:r>
          </w:p>
        </w:tc>
        <w:tc>
          <w:tcPr>
            <w:tcW w:w="1346" w:type="dxa"/>
            <w:shd w:val="clear" w:color="auto" w:fill="auto"/>
            <w:noWrap/>
            <w:vAlign w:val="center"/>
            <w:hideMark/>
          </w:tcPr>
          <w:p w14:paraId="14FC705B" w14:textId="77777777" w:rsidR="001E40DC" w:rsidRPr="00350989" w:rsidRDefault="001E40DC" w:rsidP="000D7F61">
            <w:pPr>
              <w:spacing w:after="0"/>
              <w:rPr>
                <w:color w:val="212121"/>
                <w:sz w:val="20"/>
              </w:rPr>
            </w:pPr>
            <w:r w:rsidRPr="00350989">
              <w:rPr>
                <w:color w:val="000000"/>
                <w:sz w:val="20"/>
              </w:rPr>
              <w:t>4</w:t>
            </w:r>
          </w:p>
        </w:tc>
        <w:tc>
          <w:tcPr>
            <w:tcW w:w="1347" w:type="dxa"/>
            <w:shd w:val="clear" w:color="auto" w:fill="auto"/>
            <w:noWrap/>
            <w:vAlign w:val="center"/>
            <w:hideMark/>
          </w:tcPr>
          <w:p w14:paraId="336F0D81" w14:textId="77777777" w:rsidR="001E40DC" w:rsidRPr="00350989" w:rsidRDefault="001E40DC" w:rsidP="000D7F61">
            <w:pPr>
              <w:spacing w:after="0"/>
              <w:rPr>
                <w:color w:val="212121"/>
                <w:sz w:val="20"/>
              </w:rPr>
            </w:pPr>
            <w:r w:rsidRPr="00350989">
              <w:rPr>
                <w:color w:val="000000"/>
                <w:sz w:val="20"/>
              </w:rPr>
              <w:t>3</w:t>
            </w:r>
          </w:p>
        </w:tc>
      </w:tr>
      <w:tr w:rsidR="009672E6" w:rsidRPr="00350989" w14:paraId="4F41CF7E" w14:textId="77777777" w:rsidTr="0069684A">
        <w:trPr>
          <w:trHeight w:val="20"/>
        </w:trPr>
        <w:tc>
          <w:tcPr>
            <w:tcW w:w="3794" w:type="dxa"/>
            <w:shd w:val="clear" w:color="auto" w:fill="auto"/>
            <w:noWrap/>
            <w:vAlign w:val="center"/>
            <w:hideMark/>
          </w:tcPr>
          <w:p w14:paraId="4C9F4B45" w14:textId="77777777" w:rsidR="001E40DC" w:rsidRPr="00350989" w:rsidRDefault="001E40DC" w:rsidP="000D7F61">
            <w:pPr>
              <w:spacing w:after="0"/>
              <w:rPr>
                <w:color w:val="212121"/>
                <w:sz w:val="20"/>
              </w:rPr>
            </w:pPr>
            <w:r w:rsidRPr="00350989">
              <w:rPr>
                <w:color w:val="000000"/>
                <w:sz w:val="20"/>
              </w:rPr>
              <w:t>Other</w:t>
            </w:r>
          </w:p>
        </w:tc>
        <w:tc>
          <w:tcPr>
            <w:tcW w:w="1346" w:type="dxa"/>
            <w:shd w:val="clear" w:color="auto" w:fill="auto"/>
            <w:noWrap/>
            <w:vAlign w:val="center"/>
            <w:hideMark/>
          </w:tcPr>
          <w:p w14:paraId="16178723" w14:textId="77777777" w:rsidR="001E40DC" w:rsidRPr="00350989" w:rsidRDefault="001E40DC" w:rsidP="000D7F61">
            <w:pPr>
              <w:spacing w:after="0"/>
              <w:rPr>
                <w:color w:val="212121"/>
                <w:sz w:val="20"/>
              </w:rPr>
            </w:pPr>
            <w:r w:rsidRPr="00350989">
              <w:rPr>
                <w:color w:val="000000"/>
                <w:sz w:val="20"/>
              </w:rPr>
              <w:t>7</w:t>
            </w:r>
          </w:p>
        </w:tc>
        <w:tc>
          <w:tcPr>
            <w:tcW w:w="1347" w:type="dxa"/>
            <w:shd w:val="clear" w:color="auto" w:fill="auto"/>
            <w:noWrap/>
            <w:vAlign w:val="center"/>
            <w:hideMark/>
          </w:tcPr>
          <w:p w14:paraId="1FA800DD" w14:textId="77777777" w:rsidR="001E40DC" w:rsidRPr="00350989" w:rsidRDefault="001E40DC" w:rsidP="000D7F61">
            <w:pPr>
              <w:spacing w:after="0"/>
              <w:rPr>
                <w:color w:val="212121"/>
                <w:sz w:val="20"/>
              </w:rPr>
            </w:pPr>
            <w:r w:rsidRPr="00350989">
              <w:rPr>
                <w:color w:val="000000"/>
                <w:sz w:val="20"/>
              </w:rPr>
              <w:t>9</w:t>
            </w:r>
          </w:p>
        </w:tc>
        <w:tc>
          <w:tcPr>
            <w:tcW w:w="1346" w:type="dxa"/>
            <w:shd w:val="clear" w:color="auto" w:fill="auto"/>
            <w:noWrap/>
            <w:vAlign w:val="center"/>
            <w:hideMark/>
          </w:tcPr>
          <w:p w14:paraId="0B35EC24" w14:textId="77777777" w:rsidR="001E40DC" w:rsidRPr="00350989" w:rsidRDefault="001E40DC" w:rsidP="000D7F61">
            <w:pPr>
              <w:spacing w:after="0"/>
              <w:rPr>
                <w:color w:val="212121"/>
                <w:sz w:val="20"/>
              </w:rPr>
            </w:pPr>
            <w:r w:rsidRPr="00350989">
              <w:rPr>
                <w:color w:val="000000"/>
                <w:sz w:val="20"/>
              </w:rPr>
              <w:t>15</w:t>
            </w:r>
          </w:p>
        </w:tc>
        <w:tc>
          <w:tcPr>
            <w:tcW w:w="1347" w:type="dxa"/>
            <w:shd w:val="clear" w:color="auto" w:fill="auto"/>
            <w:noWrap/>
            <w:vAlign w:val="center"/>
            <w:hideMark/>
          </w:tcPr>
          <w:p w14:paraId="2EB0C9FE" w14:textId="77777777" w:rsidR="001E40DC" w:rsidRPr="00350989" w:rsidRDefault="001E40DC" w:rsidP="000D7F61">
            <w:pPr>
              <w:spacing w:after="0"/>
              <w:rPr>
                <w:color w:val="212121"/>
                <w:sz w:val="20"/>
              </w:rPr>
            </w:pPr>
            <w:r w:rsidRPr="00350989">
              <w:rPr>
                <w:color w:val="000000"/>
                <w:sz w:val="20"/>
              </w:rPr>
              <w:t>2</w:t>
            </w:r>
          </w:p>
        </w:tc>
      </w:tr>
      <w:tr w:rsidR="009672E6" w:rsidRPr="00350989" w14:paraId="49F404AE" w14:textId="77777777" w:rsidTr="0069684A">
        <w:trPr>
          <w:trHeight w:val="20"/>
        </w:trPr>
        <w:tc>
          <w:tcPr>
            <w:tcW w:w="3794" w:type="dxa"/>
            <w:shd w:val="clear" w:color="auto" w:fill="auto"/>
            <w:noWrap/>
            <w:vAlign w:val="center"/>
            <w:hideMark/>
          </w:tcPr>
          <w:p w14:paraId="2AC1F3C9" w14:textId="77777777" w:rsidR="001E40DC" w:rsidRPr="00350989" w:rsidRDefault="001E40DC" w:rsidP="000D7F61">
            <w:pPr>
              <w:spacing w:after="0"/>
              <w:rPr>
                <w:color w:val="212121"/>
                <w:sz w:val="20"/>
              </w:rPr>
            </w:pPr>
            <w:r w:rsidRPr="00350989">
              <w:rPr>
                <w:b/>
                <w:color w:val="000000"/>
                <w:sz w:val="20"/>
              </w:rPr>
              <w:t>Total</w:t>
            </w:r>
          </w:p>
        </w:tc>
        <w:tc>
          <w:tcPr>
            <w:tcW w:w="1346" w:type="dxa"/>
            <w:shd w:val="clear" w:color="auto" w:fill="auto"/>
            <w:noWrap/>
            <w:vAlign w:val="center"/>
            <w:hideMark/>
          </w:tcPr>
          <w:p w14:paraId="6DB225C8" w14:textId="77777777" w:rsidR="001E40DC" w:rsidRPr="00350989" w:rsidRDefault="001E40DC" w:rsidP="000D7F61">
            <w:pPr>
              <w:spacing w:after="0"/>
              <w:rPr>
                <w:color w:val="212121"/>
                <w:sz w:val="20"/>
              </w:rPr>
            </w:pPr>
            <w:r w:rsidRPr="00350989">
              <w:rPr>
                <w:b/>
                <w:color w:val="000000"/>
                <w:sz w:val="20"/>
              </w:rPr>
              <w:t>24</w:t>
            </w:r>
          </w:p>
        </w:tc>
        <w:tc>
          <w:tcPr>
            <w:tcW w:w="1347" w:type="dxa"/>
            <w:shd w:val="clear" w:color="auto" w:fill="auto"/>
            <w:noWrap/>
            <w:vAlign w:val="center"/>
            <w:hideMark/>
          </w:tcPr>
          <w:p w14:paraId="66605999" w14:textId="77777777" w:rsidR="001E40DC" w:rsidRPr="00350989" w:rsidRDefault="001E40DC" w:rsidP="000D7F61">
            <w:pPr>
              <w:spacing w:after="0"/>
              <w:rPr>
                <w:color w:val="212121"/>
                <w:sz w:val="20"/>
              </w:rPr>
            </w:pPr>
            <w:r w:rsidRPr="00350989">
              <w:rPr>
                <w:b/>
                <w:color w:val="000000"/>
                <w:sz w:val="20"/>
              </w:rPr>
              <w:t>40</w:t>
            </w:r>
          </w:p>
        </w:tc>
        <w:tc>
          <w:tcPr>
            <w:tcW w:w="1346" w:type="dxa"/>
            <w:shd w:val="clear" w:color="auto" w:fill="auto"/>
            <w:noWrap/>
            <w:vAlign w:val="center"/>
            <w:hideMark/>
          </w:tcPr>
          <w:p w14:paraId="195A2ACF" w14:textId="77777777" w:rsidR="001E40DC" w:rsidRPr="00350989" w:rsidRDefault="001E40DC" w:rsidP="000D7F61">
            <w:pPr>
              <w:spacing w:after="0"/>
              <w:rPr>
                <w:color w:val="212121"/>
                <w:sz w:val="20"/>
              </w:rPr>
            </w:pPr>
            <w:r w:rsidRPr="00350989">
              <w:rPr>
                <w:b/>
                <w:color w:val="000000"/>
                <w:sz w:val="20"/>
              </w:rPr>
              <w:t>48</w:t>
            </w:r>
          </w:p>
        </w:tc>
        <w:tc>
          <w:tcPr>
            <w:tcW w:w="1347" w:type="dxa"/>
            <w:shd w:val="clear" w:color="auto" w:fill="auto"/>
            <w:noWrap/>
            <w:vAlign w:val="center"/>
            <w:hideMark/>
          </w:tcPr>
          <w:p w14:paraId="33291414" w14:textId="77777777" w:rsidR="001E40DC" w:rsidRPr="00350989" w:rsidRDefault="001E40DC" w:rsidP="000D7F61">
            <w:pPr>
              <w:spacing w:after="0"/>
              <w:rPr>
                <w:color w:val="212121"/>
                <w:sz w:val="20"/>
              </w:rPr>
            </w:pPr>
            <w:r w:rsidRPr="00350989">
              <w:rPr>
                <w:b/>
                <w:color w:val="000000"/>
                <w:sz w:val="20"/>
              </w:rPr>
              <w:t>19</w:t>
            </w:r>
          </w:p>
        </w:tc>
      </w:tr>
    </w:tbl>
    <w:p w14:paraId="316450A4" w14:textId="77777777" w:rsidR="001E40DC" w:rsidRPr="00350989" w:rsidRDefault="001E40DC" w:rsidP="000D7F61">
      <w:pPr>
        <w:spacing w:after="0"/>
        <w:rPr>
          <w:b/>
        </w:rPr>
      </w:pPr>
    </w:p>
    <w:p w14:paraId="70767DB7" w14:textId="77777777" w:rsidR="001E40DC" w:rsidRPr="00350989" w:rsidRDefault="001E40DC" w:rsidP="000D7F61">
      <w:pPr>
        <w:spacing w:after="0"/>
        <w:rPr>
          <w:b/>
        </w:rPr>
      </w:pPr>
      <w:r w:rsidRPr="00350989">
        <w:rPr>
          <w:b/>
        </w:rPr>
        <w:t>Table: European University Cyprus – Students per disability</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311"/>
        <w:gridCol w:w="1311"/>
        <w:gridCol w:w="1311"/>
        <w:gridCol w:w="1312"/>
      </w:tblGrid>
      <w:tr w:rsidR="001E40DC" w:rsidRPr="00350989" w14:paraId="559F725B" w14:textId="77777777" w:rsidTr="0069684A">
        <w:trPr>
          <w:trHeight w:val="20"/>
        </w:trPr>
        <w:tc>
          <w:tcPr>
            <w:tcW w:w="3794" w:type="dxa"/>
            <w:shd w:val="clear" w:color="auto" w:fill="auto"/>
            <w:noWrap/>
            <w:vAlign w:val="center"/>
            <w:hideMark/>
          </w:tcPr>
          <w:p w14:paraId="0CC1C307" w14:textId="77777777" w:rsidR="001E40DC" w:rsidRPr="00350989" w:rsidRDefault="001E40DC" w:rsidP="000D7F61">
            <w:pPr>
              <w:spacing w:after="0"/>
              <w:rPr>
                <w:rFonts w:eastAsia="Times New Roman"/>
                <w:color w:val="212121"/>
                <w:sz w:val="20"/>
                <w:lang w:eastAsia="el-GR"/>
              </w:rPr>
            </w:pPr>
            <w:r w:rsidRPr="00350989">
              <w:rPr>
                <w:rFonts w:eastAsia="Times New Roman"/>
                <w:b/>
                <w:bCs/>
                <w:color w:val="000000"/>
                <w:sz w:val="20"/>
                <w:lang w:eastAsia="el-GR"/>
              </w:rPr>
              <w:t> </w:t>
            </w:r>
          </w:p>
        </w:tc>
        <w:tc>
          <w:tcPr>
            <w:tcW w:w="1311" w:type="dxa"/>
            <w:shd w:val="clear" w:color="auto" w:fill="auto"/>
            <w:noWrap/>
            <w:vAlign w:val="center"/>
            <w:hideMark/>
          </w:tcPr>
          <w:p w14:paraId="0063AC9A" w14:textId="77777777" w:rsidR="001E40DC" w:rsidRPr="00350989" w:rsidRDefault="001E40DC" w:rsidP="000D7F61">
            <w:pPr>
              <w:spacing w:after="0"/>
              <w:rPr>
                <w:rFonts w:eastAsia="Times New Roman"/>
                <w:color w:val="212121"/>
                <w:sz w:val="20"/>
                <w:lang w:eastAsia="el-GR"/>
              </w:rPr>
            </w:pPr>
            <w:r w:rsidRPr="00350989">
              <w:rPr>
                <w:rFonts w:eastAsia="Times New Roman"/>
                <w:b/>
                <w:bCs/>
                <w:color w:val="000000"/>
                <w:sz w:val="20"/>
                <w:lang w:eastAsia="el-GR"/>
              </w:rPr>
              <w:t>2011-12</w:t>
            </w:r>
          </w:p>
        </w:tc>
        <w:tc>
          <w:tcPr>
            <w:tcW w:w="1311" w:type="dxa"/>
            <w:shd w:val="clear" w:color="auto" w:fill="auto"/>
            <w:noWrap/>
            <w:vAlign w:val="center"/>
            <w:hideMark/>
          </w:tcPr>
          <w:p w14:paraId="0AE1473F" w14:textId="77777777" w:rsidR="001E40DC" w:rsidRPr="00350989" w:rsidRDefault="001E40DC" w:rsidP="000D7F61">
            <w:pPr>
              <w:spacing w:after="0"/>
              <w:rPr>
                <w:rFonts w:eastAsia="Times New Roman"/>
                <w:color w:val="212121"/>
                <w:sz w:val="20"/>
                <w:lang w:eastAsia="el-GR"/>
              </w:rPr>
            </w:pPr>
            <w:r w:rsidRPr="00350989">
              <w:rPr>
                <w:rFonts w:eastAsia="Times New Roman"/>
                <w:b/>
                <w:bCs/>
                <w:color w:val="000000"/>
                <w:sz w:val="20"/>
                <w:lang w:eastAsia="el-GR"/>
              </w:rPr>
              <w:t>2012-13</w:t>
            </w:r>
          </w:p>
        </w:tc>
        <w:tc>
          <w:tcPr>
            <w:tcW w:w="1311" w:type="dxa"/>
            <w:shd w:val="clear" w:color="auto" w:fill="auto"/>
            <w:noWrap/>
            <w:vAlign w:val="center"/>
            <w:hideMark/>
          </w:tcPr>
          <w:p w14:paraId="7F76F14F" w14:textId="77777777" w:rsidR="001E40DC" w:rsidRPr="00350989" w:rsidRDefault="001E40DC" w:rsidP="000D7F61">
            <w:pPr>
              <w:spacing w:after="0"/>
              <w:rPr>
                <w:rFonts w:eastAsia="Times New Roman"/>
                <w:color w:val="212121"/>
                <w:sz w:val="20"/>
                <w:lang w:eastAsia="el-GR"/>
              </w:rPr>
            </w:pPr>
            <w:r w:rsidRPr="00350989">
              <w:rPr>
                <w:rFonts w:eastAsia="Times New Roman"/>
                <w:b/>
                <w:bCs/>
                <w:color w:val="000000"/>
                <w:sz w:val="20"/>
                <w:lang w:eastAsia="el-GR"/>
              </w:rPr>
              <w:t>2013-14</w:t>
            </w:r>
          </w:p>
        </w:tc>
        <w:tc>
          <w:tcPr>
            <w:tcW w:w="1312" w:type="dxa"/>
            <w:shd w:val="clear" w:color="auto" w:fill="auto"/>
            <w:noWrap/>
            <w:vAlign w:val="center"/>
            <w:hideMark/>
          </w:tcPr>
          <w:p w14:paraId="11145F79" w14:textId="77777777" w:rsidR="001E40DC" w:rsidRPr="00350989" w:rsidRDefault="001E40DC" w:rsidP="000D7F61">
            <w:pPr>
              <w:spacing w:after="0"/>
              <w:rPr>
                <w:rFonts w:eastAsia="Times New Roman"/>
                <w:color w:val="212121"/>
                <w:sz w:val="20"/>
                <w:lang w:eastAsia="el-GR"/>
              </w:rPr>
            </w:pPr>
            <w:r w:rsidRPr="00350989">
              <w:rPr>
                <w:rFonts w:eastAsia="Times New Roman"/>
                <w:b/>
                <w:bCs/>
                <w:color w:val="000000"/>
                <w:sz w:val="20"/>
                <w:lang w:eastAsia="el-GR"/>
              </w:rPr>
              <w:t>2014-15</w:t>
            </w:r>
          </w:p>
        </w:tc>
      </w:tr>
      <w:tr w:rsidR="009672E6" w:rsidRPr="00350989" w14:paraId="3FF39087" w14:textId="77777777" w:rsidTr="0069684A">
        <w:trPr>
          <w:trHeight w:val="20"/>
        </w:trPr>
        <w:tc>
          <w:tcPr>
            <w:tcW w:w="3794" w:type="dxa"/>
            <w:shd w:val="clear" w:color="auto" w:fill="auto"/>
            <w:noWrap/>
            <w:vAlign w:val="center"/>
            <w:hideMark/>
          </w:tcPr>
          <w:p w14:paraId="60F2FF3F" w14:textId="77777777" w:rsidR="001E40DC" w:rsidRPr="00350989" w:rsidRDefault="001E40DC" w:rsidP="000D7F61">
            <w:pPr>
              <w:spacing w:after="0"/>
              <w:rPr>
                <w:color w:val="212121"/>
                <w:sz w:val="20"/>
              </w:rPr>
            </w:pPr>
            <w:r w:rsidRPr="00350989">
              <w:rPr>
                <w:color w:val="000000"/>
                <w:sz w:val="20"/>
              </w:rPr>
              <w:t>Hearing Impairment</w:t>
            </w:r>
          </w:p>
        </w:tc>
        <w:tc>
          <w:tcPr>
            <w:tcW w:w="1311" w:type="dxa"/>
            <w:shd w:val="clear" w:color="auto" w:fill="auto"/>
            <w:noWrap/>
            <w:vAlign w:val="center"/>
            <w:hideMark/>
          </w:tcPr>
          <w:p w14:paraId="65370D32" w14:textId="77777777" w:rsidR="001E40DC" w:rsidRPr="00350989" w:rsidRDefault="001E40DC" w:rsidP="000D7F61">
            <w:pPr>
              <w:spacing w:after="0"/>
              <w:rPr>
                <w:color w:val="000000"/>
                <w:sz w:val="20"/>
              </w:rPr>
            </w:pPr>
            <w:r w:rsidRPr="00350989">
              <w:rPr>
                <w:color w:val="000000"/>
                <w:sz w:val="20"/>
              </w:rPr>
              <w:t>9</w:t>
            </w:r>
          </w:p>
        </w:tc>
        <w:tc>
          <w:tcPr>
            <w:tcW w:w="1311" w:type="dxa"/>
            <w:shd w:val="clear" w:color="auto" w:fill="auto"/>
            <w:noWrap/>
            <w:vAlign w:val="center"/>
            <w:hideMark/>
          </w:tcPr>
          <w:p w14:paraId="0C0213EE" w14:textId="77777777" w:rsidR="001E40DC" w:rsidRPr="00350989" w:rsidRDefault="001E40DC" w:rsidP="000D7F61">
            <w:pPr>
              <w:spacing w:after="0"/>
              <w:rPr>
                <w:color w:val="000000"/>
                <w:sz w:val="20"/>
              </w:rPr>
            </w:pPr>
            <w:r w:rsidRPr="00350989">
              <w:rPr>
                <w:color w:val="000000"/>
                <w:sz w:val="20"/>
              </w:rPr>
              <w:t>Not available</w:t>
            </w:r>
          </w:p>
        </w:tc>
        <w:tc>
          <w:tcPr>
            <w:tcW w:w="1311" w:type="dxa"/>
            <w:shd w:val="clear" w:color="auto" w:fill="auto"/>
            <w:noWrap/>
            <w:vAlign w:val="center"/>
            <w:hideMark/>
          </w:tcPr>
          <w:p w14:paraId="46C33FFE" w14:textId="77777777" w:rsidR="001E40DC" w:rsidRPr="00350989" w:rsidRDefault="001E40DC" w:rsidP="000D7F61">
            <w:pPr>
              <w:spacing w:after="0"/>
              <w:rPr>
                <w:color w:val="212121"/>
                <w:sz w:val="20"/>
              </w:rPr>
            </w:pPr>
            <w:r w:rsidRPr="00350989">
              <w:rPr>
                <w:color w:val="000000"/>
                <w:sz w:val="20"/>
              </w:rPr>
              <w:t>15</w:t>
            </w:r>
          </w:p>
        </w:tc>
        <w:tc>
          <w:tcPr>
            <w:tcW w:w="1312" w:type="dxa"/>
            <w:shd w:val="clear" w:color="auto" w:fill="auto"/>
            <w:noWrap/>
            <w:vAlign w:val="center"/>
            <w:hideMark/>
          </w:tcPr>
          <w:p w14:paraId="4B7AC565" w14:textId="77777777" w:rsidR="001E40DC" w:rsidRPr="00350989" w:rsidRDefault="001E40DC" w:rsidP="000D7F61">
            <w:pPr>
              <w:spacing w:after="0"/>
              <w:rPr>
                <w:color w:val="212121"/>
                <w:sz w:val="20"/>
              </w:rPr>
            </w:pPr>
            <w:r w:rsidRPr="00350989">
              <w:rPr>
                <w:color w:val="000000"/>
                <w:sz w:val="20"/>
              </w:rPr>
              <w:t>17</w:t>
            </w:r>
          </w:p>
        </w:tc>
      </w:tr>
      <w:tr w:rsidR="009672E6" w:rsidRPr="00350989" w14:paraId="73CCB0E8" w14:textId="77777777" w:rsidTr="0069684A">
        <w:trPr>
          <w:trHeight w:val="20"/>
        </w:trPr>
        <w:tc>
          <w:tcPr>
            <w:tcW w:w="3794" w:type="dxa"/>
            <w:shd w:val="clear" w:color="auto" w:fill="auto"/>
            <w:noWrap/>
            <w:vAlign w:val="center"/>
            <w:hideMark/>
          </w:tcPr>
          <w:p w14:paraId="7DFC66E7" w14:textId="77777777" w:rsidR="001E40DC" w:rsidRPr="00350989" w:rsidRDefault="001E40DC" w:rsidP="000D7F61">
            <w:pPr>
              <w:spacing w:after="0"/>
              <w:rPr>
                <w:color w:val="212121"/>
                <w:sz w:val="20"/>
              </w:rPr>
            </w:pPr>
            <w:r w:rsidRPr="00350989">
              <w:rPr>
                <w:color w:val="000000"/>
                <w:sz w:val="20"/>
              </w:rPr>
              <w:t>Visual Impairment</w:t>
            </w:r>
          </w:p>
        </w:tc>
        <w:tc>
          <w:tcPr>
            <w:tcW w:w="1311" w:type="dxa"/>
            <w:shd w:val="clear" w:color="auto" w:fill="auto"/>
            <w:noWrap/>
            <w:vAlign w:val="center"/>
            <w:hideMark/>
          </w:tcPr>
          <w:p w14:paraId="5704A048" w14:textId="77777777" w:rsidR="001E40DC" w:rsidRPr="00350989" w:rsidRDefault="001E40DC" w:rsidP="000D7F61">
            <w:pPr>
              <w:spacing w:after="0"/>
              <w:rPr>
                <w:color w:val="000000"/>
                <w:sz w:val="20"/>
              </w:rPr>
            </w:pPr>
            <w:r w:rsidRPr="00350989">
              <w:rPr>
                <w:color w:val="000000"/>
                <w:sz w:val="20"/>
              </w:rPr>
              <w:t>6</w:t>
            </w:r>
          </w:p>
        </w:tc>
        <w:tc>
          <w:tcPr>
            <w:tcW w:w="1311" w:type="dxa"/>
            <w:shd w:val="clear" w:color="auto" w:fill="auto"/>
            <w:noWrap/>
            <w:vAlign w:val="center"/>
            <w:hideMark/>
          </w:tcPr>
          <w:p w14:paraId="6785C771" w14:textId="77777777" w:rsidR="001E40DC" w:rsidRPr="00350989" w:rsidRDefault="001E40DC" w:rsidP="000D7F61">
            <w:pPr>
              <w:spacing w:after="0"/>
              <w:rPr>
                <w:sz w:val="20"/>
              </w:rPr>
            </w:pPr>
            <w:r w:rsidRPr="00350989">
              <w:rPr>
                <w:color w:val="000000"/>
                <w:sz w:val="20"/>
              </w:rPr>
              <w:t>Not available</w:t>
            </w:r>
          </w:p>
        </w:tc>
        <w:tc>
          <w:tcPr>
            <w:tcW w:w="1311" w:type="dxa"/>
            <w:shd w:val="clear" w:color="auto" w:fill="auto"/>
            <w:noWrap/>
            <w:vAlign w:val="center"/>
            <w:hideMark/>
          </w:tcPr>
          <w:p w14:paraId="1241195D" w14:textId="77777777" w:rsidR="001E40DC" w:rsidRPr="00350989" w:rsidRDefault="001E40DC" w:rsidP="000D7F61">
            <w:pPr>
              <w:spacing w:after="0"/>
              <w:rPr>
                <w:color w:val="212121"/>
                <w:sz w:val="20"/>
              </w:rPr>
            </w:pPr>
            <w:r w:rsidRPr="00350989">
              <w:rPr>
                <w:color w:val="000000"/>
                <w:sz w:val="20"/>
              </w:rPr>
              <w:t>8</w:t>
            </w:r>
          </w:p>
        </w:tc>
        <w:tc>
          <w:tcPr>
            <w:tcW w:w="1312" w:type="dxa"/>
            <w:shd w:val="clear" w:color="auto" w:fill="auto"/>
            <w:noWrap/>
            <w:vAlign w:val="center"/>
            <w:hideMark/>
          </w:tcPr>
          <w:p w14:paraId="6676BA0F" w14:textId="77777777" w:rsidR="001E40DC" w:rsidRPr="00350989" w:rsidRDefault="001E40DC" w:rsidP="000D7F61">
            <w:pPr>
              <w:spacing w:after="0"/>
              <w:rPr>
                <w:color w:val="000000"/>
                <w:sz w:val="20"/>
              </w:rPr>
            </w:pPr>
            <w:r w:rsidRPr="00350989">
              <w:rPr>
                <w:color w:val="000000"/>
                <w:sz w:val="20"/>
              </w:rPr>
              <w:t>5</w:t>
            </w:r>
          </w:p>
        </w:tc>
      </w:tr>
      <w:tr w:rsidR="009672E6" w:rsidRPr="00350989" w14:paraId="5123056D" w14:textId="77777777" w:rsidTr="0069684A">
        <w:trPr>
          <w:trHeight w:val="20"/>
        </w:trPr>
        <w:tc>
          <w:tcPr>
            <w:tcW w:w="3794" w:type="dxa"/>
            <w:shd w:val="clear" w:color="auto" w:fill="auto"/>
            <w:noWrap/>
            <w:vAlign w:val="center"/>
            <w:hideMark/>
          </w:tcPr>
          <w:p w14:paraId="0EAB9DDC" w14:textId="77777777" w:rsidR="001E40DC" w:rsidRPr="00350989" w:rsidRDefault="001E40DC" w:rsidP="000D7F61">
            <w:pPr>
              <w:spacing w:after="0"/>
              <w:rPr>
                <w:color w:val="212121"/>
                <w:sz w:val="20"/>
              </w:rPr>
            </w:pPr>
            <w:r w:rsidRPr="00350989">
              <w:rPr>
                <w:color w:val="000000"/>
                <w:sz w:val="20"/>
              </w:rPr>
              <w:t>Physical Disabilities</w:t>
            </w:r>
          </w:p>
        </w:tc>
        <w:tc>
          <w:tcPr>
            <w:tcW w:w="1311" w:type="dxa"/>
            <w:shd w:val="clear" w:color="auto" w:fill="auto"/>
            <w:noWrap/>
            <w:vAlign w:val="center"/>
            <w:hideMark/>
          </w:tcPr>
          <w:p w14:paraId="68D3B1D9" w14:textId="77777777" w:rsidR="001E40DC" w:rsidRPr="00350989" w:rsidRDefault="001E40DC" w:rsidP="000D7F61">
            <w:pPr>
              <w:spacing w:after="0"/>
              <w:rPr>
                <w:color w:val="000000"/>
                <w:sz w:val="20"/>
              </w:rPr>
            </w:pPr>
            <w:r w:rsidRPr="00350989">
              <w:rPr>
                <w:color w:val="000000"/>
                <w:sz w:val="20"/>
              </w:rPr>
              <w:t>0</w:t>
            </w:r>
          </w:p>
        </w:tc>
        <w:tc>
          <w:tcPr>
            <w:tcW w:w="1311" w:type="dxa"/>
            <w:shd w:val="clear" w:color="auto" w:fill="auto"/>
            <w:noWrap/>
            <w:vAlign w:val="center"/>
            <w:hideMark/>
          </w:tcPr>
          <w:p w14:paraId="1C5AC320" w14:textId="77777777" w:rsidR="001E40DC" w:rsidRPr="00350989" w:rsidRDefault="001E40DC" w:rsidP="000D7F61">
            <w:pPr>
              <w:spacing w:after="0"/>
              <w:rPr>
                <w:sz w:val="20"/>
              </w:rPr>
            </w:pPr>
            <w:r w:rsidRPr="00350989">
              <w:rPr>
                <w:color w:val="000000"/>
                <w:sz w:val="20"/>
              </w:rPr>
              <w:t>Not available</w:t>
            </w:r>
          </w:p>
        </w:tc>
        <w:tc>
          <w:tcPr>
            <w:tcW w:w="1311" w:type="dxa"/>
            <w:shd w:val="clear" w:color="auto" w:fill="auto"/>
            <w:noWrap/>
            <w:vAlign w:val="center"/>
            <w:hideMark/>
          </w:tcPr>
          <w:p w14:paraId="60FC6EAD" w14:textId="77777777" w:rsidR="001E40DC" w:rsidRPr="00350989" w:rsidRDefault="001E40DC" w:rsidP="000D7F61">
            <w:pPr>
              <w:spacing w:after="0"/>
              <w:rPr>
                <w:color w:val="212121"/>
                <w:sz w:val="20"/>
              </w:rPr>
            </w:pPr>
            <w:r w:rsidRPr="00350989">
              <w:rPr>
                <w:color w:val="000000"/>
                <w:sz w:val="20"/>
              </w:rPr>
              <w:t>3</w:t>
            </w:r>
          </w:p>
        </w:tc>
        <w:tc>
          <w:tcPr>
            <w:tcW w:w="1312" w:type="dxa"/>
            <w:shd w:val="clear" w:color="auto" w:fill="auto"/>
            <w:noWrap/>
            <w:vAlign w:val="center"/>
            <w:hideMark/>
          </w:tcPr>
          <w:p w14:paraId="4F2ECAB3" w14:textId="77777777" w:rsidR="001E40DC" w:rsidRPr="00350989" w:rsidRDefault="001E40DC" w:rsidP="000D7F61">
            <w:pPr>
              <w:spacing w:after="0"/>
              <w:rPr>
                <w:color w:val="000000"/>
                <w:sz w:val="20"/>
              </w:rPr>
            </w:pPr>
            <w:r w:rsidRPr="00350989">
              <w:rPr>
                <w:color w:val="000000"/>
                <w:sz w:val="20"/>
              </w:rPr>
              <w:t>3</w:t>
            </w:r>
          </w:p>
        </w:tc>
      </w:tr>
      <w:tr w:rsidR="009672E6" w:rsidRPr="00350989" w14:paraId="21734877" w14:textId="77777777" w:rsidTr="0069684A">
        <w:trPr>
          <w:trHeight w:val="20"/>
        </w:trPr>
        <w:tc>
          <w:tcPr>
            <w:tcW w:w="3794" w:type="dxa"/>
            <w:shd w:val="clear" w:color="auto" w:fill="auto"/>
            <w:noWrap/>
            <w:vAlign w:val="center"/>
            <w:hideMark/>
          </w:tcPr>
          <w:p w14:paraId="4793FC9D" w14:textId="77777777" w:rsidR="001E40DC" w:rsidRPr="00350989" w:rsidRDefault="001E40DC" w:rsidP="000D7F61">
            <w:pPr>
              <w:spacing w:after="0"/>
              <w:rPr>
                <w:color w:val="000000"/>
                <w:sz w:val="20"/>
              </w:rPr>
            </w:pPr>
            <w:r w:rsidRPr="00350989">
              <w:rPr>
                <w:color w:val="000000"/>
                <w:sz w:val="20"/>
              </w:rPr>
              <w:lastRenderedPageBreak/>
              <w:t xml:space="preserve">Emotional / Behavioural Disabilities </w:t>
            </w:r>
          </w:p>
        </w:tc>
        <w:tc>
          <w:tcPr>
            <w:tcW w:w="1311" w:type="dxa"/>
            <w:shd w:val="clear" w:color="auto" w:fill="auto"/>
            <w:noWrap/>
            <w:vAlign w:val="center"/>
            <w:hideMark/>
          </w:tcPr>
          <w:p w14:paraId="134F00F5" w14:textId="77777777" w:rsidR="001E40DC" w:rsidRPr="00350989" w:rsidRDefault="001E40DC" w:rsidP="000D7F61">
            <w:pPr>
              <w:spacing w:after="0"/>
              <w:rPr>
                <w:color w:val="000000"/>
                <w:sz w:val="20"/>
              </w:rPr>
            </w:pPr>
            <w:r w:rsidRPr="00350989">
              <w:rPr>
                <w:color w:val="000000"/>
                <w:sz w:val="20"/>
              </w:rPr>
              <w:t>9</w:t>
            </w:r>
          </w:p>
        </w:tc>
        <w:tc>
          <w:tcPr>
            <w:tcW w:w="1311" w:type="dxa"/>
            <w:shd w:val="clear" w:color="auto" w:fill="auto"/>
            <w:noWrap/>
            <w:vAlign w:val="center"/>
            <w:hideMark/>
          </w:tcPr>
          <w:p w14:paraId="58E47C63" w14:textId="77777777" w:rsidR="001E40DC" w:rsidRPr="00350989" w:rsidRDefault="001E40DC" w:rsidP="000D7F61">
            <w:pPr>
              <w:spacing w:after="0"/>
              <w:rPr>
                <w:sz w:val="20"/>
              </w:rPr>
            </w:pPr>
            <w:r w:rsidRPr="00350989">
              <w:rPr>
                <w:color w:val="000000"/>
                <w:sz w:val="20"/>
              </w:rPr>
              <w:t>Not available</w:t>
            </w:r>
          </w:p>
        </w:tc>
        <w:tc>
          <w:tcPr>
            <w:tcW w:w="1311" w:type="dxa"/>
            <w:shd w:val="clear" w:color="auto" w:fill="auto"/>
            <w:noWrap/>
            <w:vAlign w:val="center"/>
            <w:hideMark/>
          </w:tcPr>
          <w:p w14:paraId="5084C372" w14:textId="77777777" w:rsidR="001E40DC" w:rsidRPr="00350989" w:rsidRDefault="001E40DC" w:rsidP="000D7F61">
            <w:pPr>
              <w:spacing w:after="0"/>
              <w:rPr>
                <w:color w:val="212121"/>
                <w:sz w:val="20"/>
              </w:rPr>
            </w:pPr>
            <w:r w:rsidRPr="00350989">
              <w:rPr>
                <w:color w:val="000000"/>
                <w:sz w:val="20"/>
              </w:rPr>
              <w:t>20</w:t>
            </w:r>
          </w:p>
        </w:tc>
        <w:tc>
          <w:tcPr>
            <w:tcW w:w="1312" w:type="dxa"/>
            <w:shd w:val="clear" w:color="auto" w:fill="auto"/>
            <w:noWrap/>
            <w:vAlign w:val="center"/>
            <w:hideMark/>
          </w:tcPr>
          <w:p w14:paraId="104AD252" w14:textId="77777777" w:rsidR="001E40DC" w:rsidRPr="00350989" w:rsidRDefault="001E40DC" w:rsidP="000D7F61">
            <w:pPr>
              <w:spacing w:after="0"/>
              <w:rPr>
                <w:color w:val="212121"/>
                <w:sz w:val="20"/>
              </w:rPr>
            </w:pPr>
            <w:r w:rsidRPr="00350989">
              <w:rPr>
                <w:color w:val="000000"/>
                <w:sz w:val="20"/>
              </w:rPr>
              <w:t>20</w:t>
            </w:r>
          </w:p>
        </w:tc>
      </w:tr>
      <w:tr w:rsidR="009672E6" w:rsidRPr="00350989" w14:paraId="019C405D" w14:textId="77777777" w:rsidTr="0069684A">
        <w:trPr>
          <w:trHeight w:val="20"/>
        </w:trPr>
        <w:tc>
          <w:tcPr>
            <w:tcW w:w="3794" w:type="dxa"/>
            <w:shd w:val="clear" w:color="auto" w:fill="auto"/>
            <w:noWrap/>
            <w:vAlign w:val="center"/>
            <w:hideMark/>
          </w:tcPr>
          <w:p w14:paraId="5EAFCB4E" w14:textId="77777777" w:rsidR="001E40DC" w:rsidRPr="00350989" w:rsidRDefault="001E40DC" w:rsidP="000D7F61">
            <w:pPr>
              <w:spacing w:after="0"/>
              <w:rPr>
                <w:color w:val="212121"/>
                <w:sz w:val="20"/>
              </w:rPr>
            </w:pPr>
            <w:r w:rsidRPr="00350989">
              <w:rPr>
                <w:color w:val="000000"/>
                <w:sz w:val="20"/>
              </w:rPr>
              <w:t>Down Syndrome</w:t>
            </w:r>
          </w:p>
        </w:tc>
        <w:tc>
          <w:tcPr>
            <w:tcW w:w="1311" w:type="dxa"/>
            <w:shd w:val="clear" w:color="auto" w:fill="auto"/>
            <w:noWrap/>
            <w:vAlign w:val="center"/>
            <w:hideMark/>
          </w:tcPr>
          <w:p w14:paraId="19175385" w14:textId="77777777" w:rsidR="001E40DC" w:rsidRPr="00350989" w:rsidRDefault="001E40DC" w:rsidP="000D7F61">
            <w:pPr>
              <w:spacing w:after="0"/>
              <w:rPr>
                <w:color w:val="000000"/>
                <w:sz w:val="20"/>
              </w:rPr>
            </w:pPr>
            <w:r w:rsidRPr="00350989">
              <w:rPr>
                <w:color w:val="000000"/>
                <w:sz w:val="20"/>
              </w:rPr>
              <w:t>0</w:t>
            </w:r>
          </w:p>
        </w:tc>
        <w:tc>
          <w:tcPr>
            <w:tcW w:w="1311" w:type="dxa"/>
            <w:shd w:val="clear" w:color="auto" w:fill="auto"/>
            <w:noWrap/>
            <w:vAlign w:val="center"/>
            <w:hideMark/>
          </w:tcPr>
          <w:p w14:paraId="2EEBC32D" w14:textId="77777777" w:rsidR="001E40DC" w:rsidRPr="00350989" w:rsidRDefault="001E40DC" w:rsidP="000D7F61">
            <w:pPr>
              <w:spacing w:after="0"/>
              <w:rPr>
                <w:sz w:val="20"/>
              </w:rPr>
            </w:pPr>
            <w:r w:rsidRPr="00350989">
              <w:rPr>
                <w:color w:val="000000"/>
                <w:sz w:val="20"/>
              </w:rPr>
              <w:t>Not available</w:t>
            </w:r>
          </w:p>
        </w:tc>
        <w:tc>
          <w:tcPr>
            <w:tcW w:w="1311" w:type="dxa"/>
            <w:shd w:val="clear" w:color="auto" w:fill="auto"/>
            <w:noWrap/>
            <w:vAlign w:val="center"/>
            <w:hideMark/>
          </w:tcPr>
          <w:p w14:paraId="25AB4F1F" w14:textId="77777777" w:rsidR="001E40DC" w:rsidRPr="00350989" w:rsidRDefault="001E40DC" w:rsidP="000D7F61">
            <w:pPr>
              <w:spacing w:after="0"/>
              <w:rPr>
                <w:color w:val="000000"/>
                <w:sz w:val="20"/>
              </w:rPr>
            </w:pPr>
            <w:r w:rsidRPr="00350989">
              <w:rPr>
                <w:color w:val="000000"/>
                <w:sz w:val="20"/>
              </w:rPr>
              <w:t>1</w:t>
            </w:r>
          </w:p>
        </w:tc>
        <w:tc>
          <w:tcPr>
            <w:tcW w:w="1312" w:type="dxa"/>
            <w:shd w:val="clear" w:color="auto" w:fill="auto"/>
            <w:noWrap/>
            <w:vAlign w:val="center"/>
            <w:hideMark/>
          </w:tcPr>
          <w:p w14:paraId="38070D76" w14:textId="77777777" w:rsidR="001E40DC" w:rsidRPr="00350989" w:rsidRDefault="001E40DC" w:rsidP="000D7F61">
            <w:pPr>
              <w:spacing w:after="0"/>
              <w:rPr>
                <w:color w:val="000000"/>
                <w:sz w:val="20"/>
              </w:rPr>
            </w:pPr>
            <w:r w:rsidRPr="00350989">
              <w:rPr>
                <w:color w:val="000000"/>
                <w:sz w:val="20"/>
              </w:rPr>
              <w:t>1</w:t>
            </w:r>
          </w:p>
        </w:tc>
      </w:tr>
      <w:tr w:rsidR="009672E6" w:rsidRPr="00350989" w14:paraId="79A7EF29" w14:textId="77777777" w:rsidTr="0069684A">
        <w:trPr>
          <w:trHeight w:val="20"/>
        </w:trPr>
        <w:tc>
          <w:tcPr>
            <w:tcW w:w="3794" w:type="dxa"/>
            <w:shd w:val="clear" w:color="auto" w:fill="auto"/>
            <w:noWrap/>
            <w:vAlign w:val="center"/>
            <w:hideMark/>
          </w:tcPr>
          <w:p w14:paraId="625DD0C0" w14:textId="77777777" w:rsidR="001E40DC" w:rsidRPr="00350989" w:rsidRDefault="001E40DC" w:rsidP="000D7F61">
            <w:pPr>
              <w:spacing w:after="0"/>
              <w:rPr>
                <w:color w:val="212121"/>
                <w:sz w:val="20"/>
              </w:rPr>
            </w:pPr>
            <w:r w:rsidRPr="00350989">
              <w:rPr>
                <w:color w:val="000000"/>
                <w:sz w:val="20"/>
              </w:rPr>
              <w:t>Autistic Spectrum Disorder</w:t>
            </w:r>
          </w:p>
        </w:tc>
        <w:tc>
          <w:tcPr>
            <w:tcW w:w="1311" w:type="dxa"/>
            <w:shd w:val="clear" w:color="auto" w:fill="auto"/>
            <w:noWrap/>
            <w:vAlign w:val="center"/>
            <w:hideMark/>
          </w:tcPr>
          <w:p w14:paraId="441E52F5" w14:textId="77777777" w:rsidR="001E40DC" w:rsidRPr="00350989" w:rsidRDefault="001E40DC" w:rsidP="000D7F61">
            <w:pPr>
              <w:spacing w:after="0"/>
              <w:rPr>
                <w:color w:val="000000"/>
                <w:sz w:val="20"/>
              </w:rPr>
            </w:pPr>
            <w:r w:rsidRPr="00350989">
              <w:rPr>
                <w:color w:val="000000"/>
                <w:sz w:val="20"/>
              </w:rPr>
              <w:t>0</w:t>
            </w:r>
          </w:p>
        </w:tc>
        <w:tc>
          <w:tcPr>
            <w:tcW w:w="1311" w:type="dxa"/>
            <w:shd w:val="clear" w:color="auto" w:fill="auto"/>
            <w:noWrap/>
            <w:vAlign w:val="center"/>
            <w:hideMark/>
          </w:tcPr>
          <w:p w14:paraId="5A6153F3" w14:textId="77777777" w:rsidR="001E40DC" w:rsidRPr="00350989" w:rsidRDefault="001E40DC" w:rsidP="000D7F61">
            <w:pPr>
              <w:spacing w:after="0"/>
              <w:rPr>
                <w:sz w:val="20"/>
              </w:rPr>
            </w:pPr>
            <w:r w:rsidRPr="00350989">
              <w:rPr>
                <w:color w:val="000000"/>
                <w:sz w:val="20"/>
              </w:rPr>
              <w:t>Not available</w:t>
            </w:r>
          </w:p>
        </w:tc>
        <w:tc>
          <w:tcPr>
            <w:tcW w:w="1311" w:type="dxa"/>
            <w:shd w:val="clear" w:color="auto" w:fill="auto"/>
            <w:noWrap/>
            <w:vAlign w:val="center"/>
            <w:hideMark/>
          </w:tcPr>
          <w:p w14:paraId="62DE6E09" w14:textId="77777777" w:rsidR="001E40DC" w:rsidRPr="00350989" w:rsidRDefault="001E40DC" w:rsidP="000D7F61">
            <w:pPr>
              <w:spacing w:after="0"/>
              <w:rPr>
                <w:color w:val="000000"/>
                <w:sz w:val="20"/>
              </w:rPr>
            </w:pPr>
            <w:r w:rsidRPr="00350989">
              <w:rPr>
                <w:color w:val="000000"/>
                <w:sz w:val="20"/>
              </w:rPr>
              <w:t>1</w:t>
            </w:r>
          </w:p>
        </w:tc>
        <w:tc>
          <w:tcPr>
            <w:tcW w:w="1312" w:type="dxa"/>
            <w:shd w:val="clear" w:color="auto" w:fill="auto"/>
            <w:noWrap/>
            <w:vAlign w:val="center"/>
            <w:hideMark/>
          </w:tcPr>
          <w:p w14:paraId="0A304A88" w14:textId="77777777" w:rsidR="001E40DC" w:rsidRPr="00350989" w:rsidRDefault="001E40DC" w:rsidP="000D7F61">
            <w:pPr>
              <w:spacing w:after="0"/>
              <w:rPr>
                <w:color w:val="000000"/>
                <w:sz w:val="20"/>
              </w:rPr>
            </w:pPr>
            <w:r w:rsidRPr="00350989">
              <w:rPr>
                <w:color w:val="000000"/>
                <w:sz w:val="20"/>
              </w:rPr>
              <w:t>1</w:t>
            </w:r>
          </w:p>
        </w:tc>
      </w:tr>
      <w:tr w:rsidR="009672E6" w:rsidRPr="00350989" w14:paraId="62834BC6" w14:textId="77777777" w:rsidTr="0069684A">
        <w:trPr>
          <w:trHeight w:val="20"/>
        </w:trPr>
        <w:tc>
          <w:tcPr>
            <w:tcW w:w="3794" w:type="dxa"/>
            <w:shd w:val="clear" w:color="auto" w:fill="auto"/>
            <w:noWrap/>
            <w:vAlign w:val="center"/>
            <w:hideMark/>
          </w:tcPr>
          <w:p w14:paraId="3A8EFB18" w14:textId="77777777" w:rsidR="001E40DC" w:rsidRPr="00350989" w:rsidRDefault="001E40DC" w:rsidP="000D7F61">
            <w:pPr>
              <w:spacing w:after="0"/>
              <w:rPr>
                <w:color w:val="212121"/>
                <w:sz w:val="20"/>
              </w:rPr>
            </w:pPr>
            <w:r w:rsidRPr="00350989">
              <w:rPr>
                <w:color w:val="000000"/>
                <w:sz w:val="20"/>
              </w:rPr>
              <w:t>Learning Disabilities</w:t>
            </w:r>
          </w:p>
        </w:tc>
        <w:tc>
          <w:tcPr>
            <w:tcW w:w="1311" w:type="dxa"/>
            <w:shd w:val="clear" w:color="auto" w:fill="auto"/>
            <w:noWrap/>
            <w:vAlign w:val="center"/>
            <w:hideMark/>
          </w:tcPr>
          <w:p w14:paraId="1A43A3A9" w14:textId="77777777" w:rsidR="001E40DC" w:rsidRPr="00350989" w:rsidRDefault="001E40DC" w:rsidP="000D7F61">
            <w:pPr>
              <w:spacing w:after="0"/>
              <w:rPr>
                <w:color w:val="000000"/>
                <w:sz w:val="20"/>
              </w:rPr>
            </w:pPr>
            <w:r w:rsidRPr="00350989">
              <w:rPr>
                <w:color w:val="000000"/>
                <w:sz w:val="20"/>
              </w:rPr>
              <w:t>9</w:t>
            </w:r>
          </w:p>
        </w:tc>
        <w:tc>
          <w:tcPr>
            <w:tcW w:w="1311" w:type="dxa"/>
            <w:shd w:val="clear" w:color="auto" w:fill="auto"/>
            <w:noWrap/>
            <w:vAlign w:val="center"/>
            <w:hideMark/>
          </w:tcPr>
          <w:p w14:paraId="2FEA3900" w14:textId="77777777" w:rsidR="001E40DC" w:rsidRPr="00350989" w:rsidRDefault="001E40DC" w:rsidP="000D7F61">
            <w:pPr>
              <w:spacing w:after="0"/>
              <w:rPr>
                <w:sz w:val="20"/>
              </w:rPr>
            </w:pPr>
            <w:r w:rsidRPr="00350989">
              <w:rPr>
                <w:color w:val="000000"/>
                <w:sz w:val="20"/>
              </w:rPr>
              <w:t>Not available</w:t>
            </w:r>
          </w:p>
        </w:tc>
        <w:tc>
          <w:tcPr>
            <w:tcW w:w="1311" w:type="dxa"/>
            <w:shd w:val="clear" w:color="auto" w:fill="auto"/>
            <w:noWrap/>
            <w:vAlign w:val="center"/>
            <w:hideMark/>
          </w:tcPr>
          <w:p w14:paraId="47998E17" w14:textId="77777777" w:rsidR="001E40DC" w:rsidRPr="00350989" w:rsidRDefault="001E40DC" w:rsidP="000D7F61">
            <w:pPr>
              <w:spacing w:after="0"/>
              <w:rPr>
                <w:color w:val="000000"/>
                <w:sz w:val="20"/>
              </w:rPr>
            </w:pPr>
            <w:r w:rsidRPr="00350989">
              <w:rPr>
                <w:color w:val="000000"/>
                <w:sz w:val="20"/>
              </w:rPr>
              <w:t>66</w:t>
            </w:r>
          </w:p>
        </w:tc>
        <w:tc>
          <w:tcPr>
            <w:tcW w:w="1312" w:type="dxa"/>
            <w:shd w:val="clear" w:color="auto" w:fill="auto"/>
            <w:noWrap/>
            <w:vAlign w:val="center"/>
            <w:hideMark/>
          </w:tcPr>
          <w:p w14:paraId="68ECE112" w14:textId="77777777" w:rsidR="001E40DC" w:rsidRPr="00350989" w:rsidRDefault="001E40DC" w:rsidP="000D7F61">
            <w:pPr>
              <w:spacing w:after="0"/>
              <w:rPr>
                <w:color w:val="000000"/>
                <w:sz w:val="20"/>
              </w:rPr>
            </w:pPr>
            <w:r w:rsidRPr="00350989">
              <w:rPr>
                <w:color w:val="000000"/>
                <w:sz w:val="20"/>
              </w:rPr>
              <w:t>87</w:t>
            </w:r>
          </w:p>
        </w:tc>
      </w:tr>
      <w:tr w:rsidR="009672E6" w:rsidRPr="00350989" w14:paraId="444107A9" w14:textId="77777777" w:rsidTr="0069684A">
        <w:trPr>
          <w:trHeight w:val="20"/>
        </w:trPr>
        <w:tc>
          <w:tcPr>
            <w:tcW w:w="3794" w:type="dxa"/>
            <w:shd w:val="clear" w:color="auto" w:fill="auto"/>
            <w:noWrap/>
            <w:vAlign w:val="center"/>
            <w:hideMark/>
          </w:tcPr>
          <w:p w14:paraId="61FEDBC5" w14:textId="77777777" w:rsidR="001E40DC" w:rsidRPr="00350989" w:rsidRDefault="001E40DC" w:rsidP="000D7F61">
            <w:pPr>
              <w:spacing w:after="0"/>
              <w:rPr>
                <w:color w:val="000000"/>
                <w:sz w:val="20"/>
              </w:rPr>
            </w:pPr>
            <w:r w:rsidRPr="00350989">
              <w:rPr>
                <w:color w:val="000000"/>
                <w:sz w:val="20"/>
              </w:rPr>
              <w:t>Health Problems</w:t>
            </w:r>
          </w:p>
        </w:tc>
        <w:tc>
          <w:tcPr>
            <w:tcW w:w="1311" w:type="dxa"/>
            <w:shd w:val="clear" w:color="auto" w:fill="auto"/>
            <w:noWrap/>
            <w:vAlign w:val="center"/>
            <w:hideMark/>
          </w:tcPr>
          <w:p w14:paraId="0942038A" w14:textId="77777777" w:rsidR="001E40DC" w:rsidRPr="00350989" w:rsidRDefault="001E40DC" w:rsidP="000D7F61">
            <w:pPr>
              <w:spacing w:after="0"/>
              <w:rPr>
                <w:color w:val="000000"/>
                <w:sz w:val="20"/>
              </w:rPr>
            </w:pPr>
            <w:r w:rsidRPr="00350989">
              <w:rPr>
                <w:color w:val="000000"/>
                <w:sz w:val="20"/>
              </w:rPr>
              <w:t>7</w:t>
            </w:r>
          </w:p>
        </w:tc>
        <w:tc>
          <w:tcPr>
            <w:tcW w:w="1311" w:type="dxa"/>
            <w:shd w:val="clear" w:color="auto" w:fill="auto"/>
            <w:noWrap/>
            <w:vAlign w:val="center"/>
            <w:hideMark/>
          </w:tcPr>
          <w:p w14:paraId="448E78FC" w14:textId="77777777" w:rsidR="001E40DC" w:rsidRPr="00350989" w:rsidRDefault="001E40DC" w:rsidP="000D7F61">
            <w:pPr>
              <w:spacing w:after="0"/>
              <w:rPr>
                <w:sz w:val="20"/>
              </w:rPr>
            </w:pPr>
            <w:r w:rsidRPr="00350989">
              <w:rPr>
                <w:color w:val="000000"/>
                <w:sz w:val="20"/>
              </w:rPr>
              <w:t>Not available</w:t>
            </w:r>
          </w:p>
        </w:tc>
        <w:tc>
          <w:tcPr>
            <w:tcW w:w="1311" w:type="dxa"/>
            <w:shd w:val="clear" w:color="auto" w:fill="auto"/>
            <w:noWrap/>
            <w:vAlign w:val="center"/>
            <w:hideMark/>
          </w:tcPr>
          <w:p w14:paraId="28C429B3" w14:textId="77777777" w:rsidR="001E40DC" w:rsidRPr="00350989" w:rsidRDefault="001E40DC" w:rsidP="000D7F61">
            <w:pPr>
              <w:spacing w:after="0"/>
              <w:rPr>
                <w:color w:val="000000"/>
                <w:sz w:val="20"/>
              </w:rPr>
            </w:pPr>
            <w:r w:rsidRPr="00350989">
              <w:rPr>
                <w:color w:val="000000"/>
                <w:sz w:val="20"/>
              </w:rPr>
              <w:t>31</w:t>
            </w:r>
          </w:p>
        </w:tc>
        <w:tc>
          <w:tcPr>
            <w:tcW w:w="1312" w:type="dxa"/>
            <w:shd w:val="clear" w:color="auto" w:fill="auto"/>
            <w:noWrap/>
            <w:vAlign w:val="center"/>
            <w:hideMark/>
          </w:tcPr>
          <w:p w14:paraId="08807CD1" w14:textId="77777777" w:rsidR="001E40DC" w:rsidRPr="00350989" w:rsidRDefault="001E40DC" w:rsidP="000D7F61">
            <w:pPr>
              <w:spacing w:after="0"/>
              <w:rPr>
                <w:color w:val="000000"/>
                <w:sz w:val="20"/>
              </w:rPr>
            </w:pPr>
            <w:r w:rsidRPr="00350989">
              <w:rPr>
                <w:color w:val="000000"/>
                <w:sz w:val="20"/>
              </w:rPr>
              <w:t>30</w:t>
            </w:r>
          </w:p>
        </w:tc>
      </w:tr>
      <w:tr w:rsidR="009672E6" w:rsidRPr="00350989" w14:paraId="2ED7B965" w14:textId="77777777" w:rsidTr="0069684A">
        <w:trPr>
          <w:trHeight w:val="20"/>
        </w:trPr>
        <w:tc>
          <w:tcPr>
            <w:tcW w:w="3794" w:type="dxa"/>
            <w:shd w:val="clear" w:color="auto" w:fill="auto"/>
            <w:noWrap/>
            <w:vAlign w:val="center"/>
            <w:hideMark/>
          </w:tcPr>
          <w:p w14:paraId="0DCFBEE8" w14:textId="77777777" w:rsidR="001E40DC" w:rsidRPr="00350989" w:rsidRDefault="001E40DC" w:rsidP="000D7F61">
            <w:pPr>
              <w:spacing w:after="0"/>
              <w:rPr>
                <w:color w:val="000000"/>
                <w:sz w:val="20"/>
              </w:rPr>
            </w:pPr>
            <w:r w:rsidRPr="00350989">
              <w:rPr>
                <w:color w:val="000000"/>
                <w:sz w:val="20"/>
              </w:rPr>
              <w:t>Multiple Disabilities</w:t>
            </w:r>
          </w:p>
        </w:tc>
        <w:tc>
          <w:tcPr>
            <w:tcW w:w="1311" w:type="dxa"/>
            <w:shd w:val="clear" w:color="auto" w:fill="auto"/>
            <w:noWrap/>
            <w:vAlign w:val="center"/>
            <w:hideMark/>
          </w:tcPr>
          <w:p w14:paraId="75DB7BF5" w14:textId="77777777" w:rsidR="001E40DC" w:rsidRPr="00350989" w:rsidRDefault="001E40DC" w:rsidP="000D7F61">
            <w:pPr>
              <w:spacing w:after="0"/>
              <w:rPr>
                <w:color w:val="000000"/>
                <w:sz w:val="20"/>
              </w:rPr>
            </w:pPr>
            <w:r w:rsidRPr="00350989">
              <w:rPr>
                <w:color w:val="000000"/>
                <w:sz w:val="20"/>
              </w:rPr>
              <w:t>0</w:t>
            </w:r>
          </w:p>
        </w:tc>
        <w:tc>
          <w:tcPr>
            <w:tcW w:w="1311" w:type="dxa"/>
            <w:shd w:val="clear" w:color="auto" w:fill="auto"/>
            <w:noWrap/>
            <w:vAlign w:val="center"/>
            <w:hideMark/>
          </w:tcPr>
          <w:p w14:paraId="002F5042" w14:textId="77777777" w:rsidR="001E40DC" w:rsidRPr="00350989" w:rsidRDefault="001E40DC" w:rsidP="000D7F61">
            <w:pPr>
              <w:spacing w:after="0"/>
              <w:rPr>
                <w:sz w:val="20"/>
              </w:rPr>
            </w:pPr>
            <w:r w:rsidRPr="00350989">
              <w:rPr>
                <w:color w:val="000000"/>
                <w:sz w:val="20"/>
              </w:rPr>
              <w:t>Not available</w:t>
            </w:r>
          </w:p>
        </w:tc>
        <w:tc>
          <w:tcPr>
            <w:tcW w:w="1311" w:type="dxa"/>
            <w:shd w:val="clear" w:color="auto" w:fill="auto"/>
            <w:noWrap/>
            <w:vAlign w:val="center"/>
            <w:hideMark/>
          </w:tcPr>
          <w:p w14:paraId="322696F8" w14:textId="77777777" w:rsidR="001E40DC" w:rsidRPr="00350989" w:rsidRDefault="001E40DC" w:rsidP="000D7F61">
            <w:pPr>
              <w:spacing w:after="0"/>
              <w:rPr>
                <w:color w:val="000000"/>
                <w:sz w:val="20"/>
              </w:rPr>
            </w:pPr>
            <w:r w:rsidRPr="00350989">
              <w:rPr>
                <w:color w:val="000000"/>
                <w:sz w:val="20"/>
              </w:rPr>
              <w:t>2</w:t>
            </w:r>
          </w:p>
        </w:tc>
        <w:tc>
          <w:tcPr>
            <w:tcW w:w="1312" w:type="dxa"/>
            <w:shd w:val="clear" w:color="auto" w:fill="auto"/>
            <w:noWrap/>
            <w:vAlign w:val="center"/>
            <w:hideMark/>
          </w:tcPr>
          <w:p w14:paraId="0D7A7B45" w14:textId="77777777" w:rsidR="001E40DC" w:rsidRPr="00350989" w:rsidRDefault="001E40DC" w:rsidP="000D7F61">
            <w:pPr>
              <w:spacing w:after="0"/>
              <w:rPr>
                <w:color w:val="000000"/>
                <w:sz w:val="20"/>
              </w:rPr>
            </w:pPr>
            <w:r w:rsidRPr="00350989">
              <w:rPr>
                <w:color w:val="000000"/>
                <w:sz w:val="20"/>
              </w:rPr>
              <w:t>2</w:t>
            </w:r>
          </w:p>
        </w:tc>
      </w:tr>
      <w:tr w:rsidR="009672E6" w:rsidRPr="00350989" w14:paraId="38B29683" w14:textId="77777777" w:rsidTr="0069684A">
        <w:trPr>
          <w:trHeight w:val="20"/>
        </w:trPr>
        <w:tc>
          <w:tcPr>
            <w:tcW w:w="3794" w:type="dxa"/>
            <w:shd w:val="clear" w:color="auto" w:fill="auto"/>
            <w:noWrap/>
            <w:vAlign w:val="center"/>
            <w:hideMark/>
          </w:tcPr>
          <w:p w14:paraId="24F01B6E" w14:textId="77777777" w:rsidR="001E40DC" w:rsidRPr="00350989" w:rsidRDefault="001E40DC" w:rsidP="000D7F61">
            <w:pPr>
              <w:spacing w:after="0"/>
              <w:rPr>
                <w:color w:val="000000"/>
                <w:sz w:val="20"/>
              </w:rPr>
            </w:pPr>
            <w:r w:rsidRPr="00350989">
              <w:rPr>
                <w:color w:val="000000"/>
                <w:sz w:val="20"/>
              </w:rPr>
              <w:t>ADHD</w:t>
            </w:r>
          </w:p>
        </w:tc>
        <w:tc>
          <w:tcPr>
            <w:tcW w:w="1311" w:type="dxa"/>
            <w:shd w:val="clear" w:color="auto" w:fill="auto"/>
            <w:noWrap/>
            <w:vAlign w:val="center"/>
            <w:hideMark/>
          </w:tcPr>
          <w:p w14:paraId="2A59063B" w14:textId="77777777" w:rsidR="001E40DC" w:rsidRPr="00350989" w:rsidRDefault="001E40DC" w:rsidP="000D7F61">
            <w:pPr>
              <w:spacing w:after="0"/>
              <w:rPr>
                <w:color w:val="000000"/>
                <w:sz w:val="20"/>
              </w:rPr>
            </w:pPr>
            <w:r w:rsidRPr="00350989">
              <w:rPr>
                <w:color w:val="000000"/>
                <w:sz w:val="20"/>
              </w:rPr>
              <w:t>5</w:t>
            </w:r>
          </w:p>
        </w:tc>
        <w:tc>
          <w:tcPr>
            <w:tcW w:w="1311" w:type="dxa"/>
            <w:shd w:val="clear" w:color="auto" w:fill="auto"/>
            <w:noWrap/>
            <w:vAlign w:val="center"/>
            <w:hideMark/>
          </w:tcPr>
          <w:p w14:paraId="3450D2E9" w14:textId="77777777" w:rsidR="001E40DC" w:rsidRPr="00350989" w:rsidRDefault="001E40DC" w:rsidP="000D7F61">
            <w:pPr>
              <w:spacing w:after="0"/>
              <w:rPr>
                <w:sz w:val="20"/>
              </w:rPr>
            </w:pPr>
            <w:r w:rsidRPr="00350989">
              <w:rPr>
                <w:color w:val="000000"/>
                <w:sz w:val="20"/>
              </w:rPr>
              <w:t>Not available</w:t>
            </w:r>
          </w:p>
        </w:tc>
        <w:tc>
          <w:tcPr>
            <w:tcW w:w="1311" w:type="dxa"/>
            <w:shd w:val="clear" w:color="auto" w:fill="auto"/>
            <w:noWrap/>
            <w:vAlign w:val="center"/>
            <w:hideMark/>
          </w:tcPr>
          <w:p w14:paraId="1BB80771" w14:textId="77777777" w:rsidR="001E40DC" w:rsidRPr="00350989" w:rsidRDefault="001E40DC" w:rsidP="000D7F61">
            <w:pPr>
              <w:spacing w:after="0"/>
              <w:rPr>
                <w:color w:val="000000"/>
                <w:sz w:val="20"/>
              </w:rPr>
            </w:pPr>
            <w:r w:rsidRPr="00350989">
              <w:rPr>
                <w:color w:val="000000"/>
                <w:sz w:val="20"/>
              </w:rPr>
              <w:t>0</w:t>
            </w:r>
          </w:p>
        </w:tc>
        <w:tc>
          <w:tcPr>
            <w:tcW w:w="1312" w:type="dxa"/>
            <w:shd w:val="clear" w:color="auto" w:fill="auto"/>
            <w:noWrap/>
            <w:vAlign w:val="center"/>
            <w:hideMark/>
          </w:tcPr>
          <w:p w14:paraId="7E0248DF" w14:textId="77777777" w:rsidR="001E40DC" w:rsidRPr="00350989" w:rsidRDefault="001E40DC" w:rsidP="000D7F61">
            <w:pPr>
              <w:spacing w:after="0"/>
              <w:rPr>
                <w:color w:val="000000"/>
                <w:sz w:val="20"/>
              </w:rPr>
            </w:pPr>
            <w:r w:rsidRPr="00350989">
              <w:rPr>
                <w:color w:val="000000"/>
                <w:sz w:val="20"/>
              </w:rPr>
              <w:t>0</w:t>
            </w:r>
          </w:p>
        </w:tc>
      </w:tr>
      <w:tr w:rsidR="009672E6" w:rsidRPr="00350989" w14:paraId="0C6A6253" w14:textId="77777777" w:rsidTr="0069684A">
        <w:trPr>
          <w:trHeight w:val="20"/>
        </w:trPr>
        <w:tc>
          <w:tcPr>
            <w:tcW w:w="3794" w:type="dxa"/>
            <w:shd w:val="clear" w:color="auto" w:fill="auto"/>
            <w:noWrap/>
            <w:vAlign w:val="center"/>
            <w:hideMark/>
          </w:tcPr>
          <w:p w14:paraId="3644F10A" w14:textId="77777777" w:rsidR="001E40DC" w:rsidRPr="00350989" w:rsidRDefault="001E40DC" w:rsidP="000D7F61">
            <w:pPr>
              <w:spacing w:after="0"/>
              <w:rPr>
                <w:color w:val="212121"/>
                <w:sz w:val="20"/>
              </w:rPr>
            </w:pPr>
            <w:r w:rsidRPr="00350989">
              <w:rPr>
                <w:color w:val="000000"/>
                <w:sz w:val="20"/>
              </w:rPr>
              <w:t>Other</w:t>
            </w:r>
          </w:p>
        </w:tc>
        <w:tc>
          <w:tcPr>
            <w:tcW w:w="1311" w:type="dxa"/>
            <w:shd w:val="clear" w:color="auto" w:fill="auto"/>
            <w:noWrap/>
            <w:vAlign w:val="center"/>
            <w:hideMark/>
          </w:tcPr>
          <w:p w14:paraId="0DDFD11F" w14:textId="77777777" w:rsidR="001E40DC" w:rsidRPr="00350989" w:rsidRDefault="001E40DC" w:rsidP="000D7F61">
            <w:pPr>
              <w:spacing w:after="0"/>
              <w:rPr>
                <w:color w:val="000000"/>
                <w:sz w:val="20"/>
              </w:rPr>
            </w:pPr>
            <w:r w:rsidRPr="00350989">
              <w:rPr>
                <w:color w:val="000000"/>
                <w:sz w:val="20"/>
              </w:rPr>
              <w:t>1</w:t>
            </w:r>
          </w:p>
        </w:tc>
        <w:tc>
          <w:tcPr>
            <w:tcW w:w="1311" w:type="dxa"/>
            <w:shd w:val="clear" w:color="auto" w:fill="auto"/>
            <w:noWrap/>
            <w:vAlign w:val="center"/>
            <w:hideMark/>
          </w:tcPr>
          <w:p w14:paraId="5E66467C" w14:textId="77777777" w:rsidR="001E40DC" w:rsidRPr="00350989" w:rsidRDefault="001E40DC" w:rsidP="000D7F61">
            <w:pPr>
              <w:spacing w:after="0"/>
              <w:rPr>
                <w:sz w:val="20"/>
              </w:rPr>
            </w:pPr>
            <w:r w:rsidRPr="00350989">
              <w:rPr>
                <w:color w:val="000000"/>
                <w:sz w:val="20"/>
              </w:rPr>
              <w:t>Not available</w:t>
            </w:r>
          </w:p>
        </w:tc>
        <w:tc>
          <w:tcPr>
            <w:tcW w:w="1311" w:type="dxa"/>
            <w:shd w:val="clear" w:color="auto" w:fill="auto"/>
            <w:noWrap/>
            <w:vAlign w:val="center"/>
            <w:hideMark/>
          </w:tcPr>
          <w:p w14:paraId="14AAF40B" w14:textId="77777777" w:rsidR="001E40DC" w:rsidRPr="00350989" w:rsidRDefault="001E40DC" w:rsidP="000D7F61">
            <w:pPr>
              <w:spacing w:after="0"/>
              <w:rPr>
                <w:color w:val="212121"/>
                <w:sz w:val="20"/>
              </w:rPr>
            </w:pPr>
            <w:r w:rsidRPr="00350989">
              <w:rPr>
                <w:color w:val="000000"/>
                <w:sz w:val="20"/>
              </w:rPr>
              <w:t>28</w:t>
            </w:r>
          </w:p>
        </w:tc>
        <w:tc>
          <w:tcPr>
            <w:tcW w:w="1312" w:type="dxa"/>
            <w:shd w:val="clear" w:color="auto" w:fill="auto"/>
            <w:noWrap/>
            <w:vAlign w:val="center"/>
            <w:hideMark/>
          </w:tcPr>
          <w:p w14:paraId="7D60FA2C" w14:textId="77777777" w:rsidR="001E40DC" w:rsidRPr="00350989" w:rsidRDefault="001E40DC" w:rsidP="000D7F61">
            <w:pPr>
              <w:spacing w:after="0"/>
              <w:rPr>
                <w:color w:val="212121"/>
                <w:sz w:val="20"/>
              </w:rPr>
            </w:pPr>
            <w:r w:rsidRPr="00350989">
              <w:rPr>
                <w:color w:val="000000"/>
                <w:sz w:val="20"/>
              </w:rPr>
              <w:t>31</w:t>
            </w:r>
          </w:p>
        </w:tc>
      </w:tr>
      <w:tr w:rsidR="009672E6" w:rsidRPr="00350989" w14:paraId="58B81C87" w14:textId="77777777" w:rsidTr="0069684A">
        <w:trPr>
          <w:trHeight w:val="20"/>
        </w:trPr>
        <w:tc>
          <w:tcPr>
            <w:tcW w:w="3794" w:type="dxa"/>
            <w:shd w:val="clear" w:color="auto" w:fill="auto"/>
            <w:noWrap/>
            <w:vAlign w:val="center"/>
            <w:hideMark/>
          </w:tcPr>
          <w:p w14:paraId="684AB2D6" w14:textId="77777777" w:rsidR="001E40DC" w:rsidRPr="00350989" w:rsidRDefault="001E40DC" w:rsidP="000D7F61">
            <w:pPr>
              <w:spacing w:after="0"/>
              <w:rPr>
                <w:color w:val="212121"/>
                <w:sz w:val="20"/>
              </w:rPr>
            </w:pPr>
            <w:r w:rsidRPr="00350989">
              <w:rPr>
                <w:b/>
                <w:color w:val="000000"/>
                <w:sz w:val="20"/>
              </w:rPr>
              <w:t>Total</w:t>
            </w:r>
          </w:p>
        </w:tc>
        <w:tc>
          <w:tcPr>
            <w:tcW w:w="1311" w:type="dxa"/>
            <w:shd w:val="clear" w:color="auto" w:fill="auto"/>
            <w:noWrap/>
            <w:vAlign w:val="center"/>
            <w:hideMark/>
          </w:tcPr>
          <w:p w14:paraId="14BBADC9" w14:textId="77777777" w:rsidR="001E40DC" w:rsidRPr="00350989" w:rsidRDefault="001E40DC" w:rsidP="000D7F61">
            <w:pPr>
              <w:spacing w:after="0"/>
              <w:rPr>
                <w:b/>
                <w:color w:val="000000"/>
                <w:sz w:val="20"/>
              </w:rPr>
            </w:pPr>
            <w:r w:rsidRPr="00350989">
              <w:rPr>
                <w:b/>
                <w:color w:val="000000"/>
                <w:sz w:val="20"/>
              </w:rPr>
              <w:t>46</w:t>
            </w:r>
          </w:p>
        </w:tc>
        <w:tc>
          <w:tcPr>
            <w:tcW w:w="1311" w:type="dxa"/>
            <w:shd w:val="clear" w:color="auto" w:fill="auto"/>
            <w:noWrap/>
            <w:vAlign w:val="center"/>
            <w:hideMark/>
          </w:tcPr>
          <w:p w14:paraId="7F06BD06" w14:textId="77777777" w:rsidR="001E40DC" w:rsidRPr="00350989" w:rsidRDefault="001E40DC" w:rsidP="000D7F61">
            <w:pPr>
              <w:spacing w:after="0"/>
              <w:rPr>
                <w:b/>
                <w:color w:val="000000"/>
                <w:sz w:val="20"/>
              </w:rPr>
            </w:pPr>
            <w:r w:rsidRPr="00350989">
              <w:rPr>
                <w:b/>
                <w:color w:val="000000"/>
                <w:sz w:val="20"/>
              </w:rPr>
              <w:t>152</w:t>
            </w:r>
          </w:p>
        </w:tc>
        <w:tc>
          <w:tcPr>
            <w:tcW w:w="1311" w:type="dxa"/>
            <w:shd w:val="clear" w:color="auto" w:fill="auto"/>
            <w:noWrap/>
            <w:vAlign w:val="center"/>
            <w:hideMark/>
          </w:tcPr>
          <w:p w14:paraId="408E9A8C" w14:textId="77777777" w:rsidR="001E40DC" w:rsidRPr="00350989" w:rsidRDefault="001E40DC" w:rsidP="000D7F61">
            <w:pPr>
              <w:spacing w:after="0"/>
              <w:rPr>
                <w:color w:val="212121"/>
                <w:sz w:val="20"/>
              </w:rPr>
            </w:pPr>
            <w:r w:rsidRPr="00350989">
              <w:rPr>
                <w:b/>
                <w:color w:val="000000"/>
                <w:sz w:val="20"/>
              </w:rPr>
              <w:t>175</w:t>
            </w:r>
          </w:p>
        </w:tc>
        <w:tc>
          <w:tcPr>
            <w:tcW w:w="1312" w:type="dxa"/>
            <w:shd w:val="clear" w:color="auto" w:fill="auto"/>
            <w:noWrap/>
            <w:vAlign w:val="center"/>
            <w:hideMark/>
          </w:tcPr>
          <w:p w14:paraId="39CBC101" w14:textId="77777777" w:rsidR="001E40DC" w:rsidRPr="00350989" w:rsidRDefault="001E40DC" w:rsidP="000D7F61">
            <w:pPr>
              <w:spacing w:after="0"/>
              <w:rPr>
                <w:color w:val="212121"/>
                <w:sz w:val="20"/>
              </w:rPr>
            </w:pPr>
            <w:r w:rsidRPr="00350989">
              <w:rPr>
                <w:b/>
                <w:color w:val="000000"/>
                <w:sz w:val="20"/>
              </w:rPr>
              <w:t>197</w:t>
            </w:r>
          </w:p>
        </w:tc>
      </w:tr>
    </w:tbl>
    <w:p w14:paraId="2A2B46BA" w14:textId="77777777" w:rsidR="001E40DC" w:rsidRPr="00350989" w:rsidRDefault="001E40DC" w:rsidP="000D7F61">
      <w:pPr>
        <w:spacing w:after="0"/>
        <w:rPr>
          <w:b/>
        </w:rPr>
      </w:pPr>
    </w:p>
    <w:p w14:paraId="594525AF" w14:textId="77777777" w:rsidR="001E40DC" w:rsidRPr="00350989" w:rsidRDefault="001E40DC" w:rsidP="000D7F61">
      <w:pPr>
        <w:spacing w:after="0"/>
        <w:rPr>
          <w:b/>
        </w:rPr>
      </w:pPr>
      <w:r w:rsidRPr="00350989">
        <w:rPr>
          <w:b/>
        </w:rPr>
        <w:br w:type="page"/>
      </w:r>
      <w:r w:rsidRPr="00350989">
        <w:rPr>
          <w:b/>
        </w:rPr>
        <w:lastRenderedPageBreak/>
        <w:t xml:space="preserve">Table: University of Nicosia – Students per disability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13"/>
        <w:gridCol w:w="1238"/>
        <w:gridCol w:w="1388"/>
        <w:gridCol w:w="1388"/>
        <w:gridCol w:w="2098"/>
      </w:tblGrid>
      <w:tr w:rsidR="001E40DC" w:rsidRPr="00350989" w14:paraId="2A48EDF3" w14:textId="77777777" w:rsidTr="0069684A">
        <w:trPr>
          <w:trHeight w:val="20"/>
        </w:trPr>
        <w:tc>
          <w:tcPr>
            <w:tcW w:w="1627" w:type="pct"/>
            <w:gridSpan w:val="2"/>
            <w:shd w:val="clear" w:color="auto" w:fill="auto"/>
            <w:noWrap/>
            <w:hideMark/>
          </w:tcPr>
          <w:p w14:paraId="4CC39BCA" w14:textId="77777777" w:rsidR="001E40DC" w:rsidRPr="00350989" w:rsidRDefault="001E40DC" w:rsidP="000D7F61">
            <w:pPr>
              <w:spacing w:after="0"/>
              <w:rPr>
                <w:rFonts w:eastAsia="Times New Roman"/>
                <w:color w:val="212121"/>
                <w:sz w:val="20"/>
                <w:lang w:eastAsia="el-GR"/>
              </w:rPr>
            </w:pPr>
            <w:r w:rsidRPr="00350989">
              <w:rPr>
                <w:rFonts w:eastAsia="Times New Roman"/>
                <w:b/>
                <w:bCs/>
                <w:color w:val="000000"/>
                <w:sz w:val="20"/>
                <w:lang w:eastAsia="el-GR"/>
              </w:rPr>
              <w:t> </w:t>
            </w:r>
          </w:p>
        </w:tc>
        <w:tc>
          <w:tcPr>
            <w:tcW w:w="683" w:type="pct"/>
            <w:shd w:val="clear" w:color="auto" w:fill="auto"/>
          </w:tcPr>
          <w:p w14:paraId="073C7FD5" w14:textId="77777777" w:rsidR="001E40DC" w:rsidRPr="00350989" w:rsidRDefault="001E40DC" w:rsidP="000D7F61">
            <w:pPr>
              <w:spacing w:after="0"/>
              <w:rPr>
                <w:rFonts w:eastAsia="Times New Roman"/>
                <w:b/>
                <w:bCs/>
                <w:color w:val="000000"/>
                <w:sz w:val="20"/>
                <w:lang w:eastAsia="el-GR"/>
              </w:rPr>
            </w:pPr>
            <w:r w:rsidRPr="00350989">
              <w:rPr>
                <w:rFonts w:eastAsia="Times New Roman"/>
                <w:b/>
                <w:bCs/>
                <w:color w:val="000000"/>
                <w:sz w:val="20"/>
                <w:lang w:eastAsia="el-GR"/>
              </w:rPr>
              <w:t>2011-12</w:t>
            </w:r>
          </w:p>
        </w:tc>
        <w:tc>
          <w:tcPr>
            <w:tcW w:w="766" w:type="pct"/>
            <w:shd w:val="clear" w:color="auto" w:fill="auto"/>
            <w:noWrap/>
            <w:hideMark/>
          </w:tcPr>
          <w:p w14:paraId="3700D3FD" w14:textId="77777777" w:rsidR="001E40DC" w:rsidRPr="00350989" w:rsidRDefault="001E40DC" w:rsidP="000D7F61">
            <w:pPr>
              <w:spacing w:after="0"/>
              <w:rPr>
                <w:rFonts w:eastAsia="Times New Roman"/>
                <w:color w:val="212121"/>
                <w:sz w:val="20"/>
                <w:lang w:eastAsia="el-GR"/>
              </w:rPr>
            </w:pPr>
            <w:r w:rsidRPr="00350989">
              <w:rPr>
                <w:rFonts w:eastAsia="Times New Roman"/>
                <w:b/>
                <w:bCs/>
                <w:color w:val="000000"/>
                <w:sz w:val="20"/>
                <w:lang w:eastAsia="el-GR"/>
              </w:rPr>
              <w:t>2012-13</w:t>
            </w:r>
          </w:p>
        </w:tc>
        <w:tc>
          <w:tcPr>
            <w:tcW w:w="766" w:type="pct"/>
            <w:shd w:val="clear" w:color="auto" w:fill="auto"/>
            <w:noWrap/>
            <w:hideMark/>
          </w:tcPr>
          <w:p w14:paraId="35D160EF" w14:textId="77777777" w:rsidR="001E40DC" w:rsidRPr="00350989" w:rsidRDefault="001E40DC" w:rsidP="000D7F61">
            <w:pPr>
              <w:spacing w:after="0"/>
              <w:rPr>
                <w:rFonts w:eastAsia="Times New Roman"/>
                <w:color w:val="212121"/>
                <w:sz w:val="20"/>
                <w:lang w:eastAsia="el-GR"/>
              </w:rPr>
            </w:pPr>
            <w:r w:rsidRPr="00350989">
              <w:rPr>
                <w:rFonts w:eastAsia="Times New Roman"/>
                <w:b/>
                <w:bCs/>
                <w:color w:val="000000"/>
                <w:sz w:val="20"/>
                <w:lang w:eastAsia="el-GR"/>
              </w:rPr>
              <w:t>2013-14</w:t>
            </w:r>
          </w:p>
        </w:tc>
        <w:tc>
          <w:tcPr>
            <w:tcW w:w="1158" w:type="pct"/>
            <w:shd w:val="clear" w:color="auto" w:fill="auto"/>
            <w:noWrap/>
            <w:hideMark/>
          </w:tcPr>
          <w:p w14:paraId="3C808A5D" w14:textId="77777777" w:rsidR="001E40DC" w:rsidRPr="00350989" w:rsidRDefault="001E40DC" w:rsidP="000D7F61">
            <w:pPr>
              <w:spacing w:after="0"/>
              <w:rPr>
                <w:rFonts w:eastAsia="Times New Roman"/>
                <w:color w:val="212121"/>
                <w:sz w:val="20"/>
                <w:lang w:eastAsia="el-GR"/>
              </w:rPr>
            </w:pPr>
            <w:r w:rsidRPr="00350989">
              <w:rPr>
                <w:rFonts w:eastAsia="Times New Roman"/>
                <w:b/>
                <w:bCs/>
                <w:color w:val="000000"/>
                <w:sz w:val="20"/>
                <w:lang w:eastAsia="el-GR"/>
              </w:rPr>
              <w:t>2014-15</w:t>
            </w:r>
          </w:p>
        </w:tc>
      </w:tr>
      <w:tr w:rsidR="009672E6" w:rsidRPr="00350989" w14:paraId="5E074FA8" w14:textId="77777777" w:rsidTr="0069684A">
        <w:trPr>
          <w:trHeight w:val="20"/>
        </w:trPr>
        <w:tc>
          <w:tcPr>
            <w:tcW w:w="1627" w:type="pct"/>
            <w:gridSpan w:val="2"/>
            <w:shd w:val="clear" w:color="auto" w:fill="auto"/>
            <w:noWrap/>
            <w:hideMark/>
          </w:tcPr>
          <w:p w14:paraId="4ADD46CA" w14:textId="77777777" w:rsidR="001E40DC" w:rsidRPr="00350989" w:rsidRDefault="001E40DC" w:rsidP="000D7F61">
            <w:pPr>
              <w:spacing w:after="0"/>
              <w:rPr>
                <w:color w:val="000000"/>
                <w:sz w:val="20"/>
              </w:rPr>
            </w:pPr>
            <w:r w:rsidRPr="00350989">
              <w:rPr>
                <w:color w:val="000000"/>
                <w:sz w:val="20"/>
              </w:rPr>
              <w:t xml:space="preserve">Anorexia </w:t>
            </w:r>
            <w:proofErr w:type="spellStart"/>
            <w:r w:rsidRPr="00350989">
              <w:rPr>
                <w:color w:val="000000"/>
                <w:sz w:val="20"/>
              </w:rPr>
              <w:t>Nevrosa</w:t>
            </w:r>
            <w:proofErr w:type="spellEnd"/>
          </w:p>
        </w:tc>
        <w:tc>
          <w:tcPr>
            <w:tcW w:w="683" w:type="pct"/>
            <w:shd w:val="clear" w:color="auto" w:fill="auto"/>
          </w:tcPr>
          <w:p w14:paraId="25F1801C" w14:textId="77777777" w:rsidR="001E40DC" w:rsidRPr="00350989" w:rsidRDefault="001E40DC" w:rsidP="000D7F61">
            <w:pPr>
              <w:spacing w:after="0"/>
              <w:rPr>
                <w:color w:val="000000"/>
                <w:sz w:val="20"/>
              </w:rPr>
            </w:pPr>
            <w:r w:rsidRPr="00350989">
              <w:rPr>
                <w:color w:val="000000"/>
                <w:sz w:val="20"/>
              </w:rPr>
              <w:t>0</w:t>
            </w:r>
          </w:p>
        </w:tc>
        <w:tc>
          <w:tcPr>
            <w:tcW w:w="766" w:type="pct"/>
            <w:shd w:val="clear" w:color="auto" w:fill="auto"/>
            <w:noWrap/>
            <w:hideMark/>
          </w:tcPr>
          <w:p w14:paraId="3CCC8C03" w14:textId="77777777" w:rsidR="001E40DC" w:rsidRPr="00350989" w:rsidRDefault="001E40DC" w:rsidP="000D7F61">
            <w:pPr>
              <w:spacing w:after="0"/>
              <w:rPr>
                <w:color w:val="000000"/>
                <w:sz w:val="20"/>
              </w:rPr>
            </w:pPr>
            <w:r w:rsidRPr="00350989">
              <w:rPr>
                <w:color w:val="000000"/>
                <w:sz w:val="20"/>
              </w:rPr>
              <w:t>1</w:t>
            </w:r>
          </w:p>
        </w:tc>
        <w:tc>
          <w:tcPr>
            <w:tcW w:w="766" w:type="pct"/>
            <w:shd w:val="clear" w:color="auto" w:fill="auto"/>
            <w:noWrap/>
            <w:hideMark/>
          </w:tcPr>
          <w:p w14:paraId="0E2420C4" w14:textId="77777777" w:rsidR="001E40DC" w:rsidRPr="00350989" w:rsidRDefault="001E40DC" w:rsidP="000D7F61">
            <w:pPr>
              <w:spacing w:after="0"/>
              <w:rPr>
                <w:color w:val="000000"/>
                <w:sz w:val="20"/>
              </w:rPr>
            </w:pPr>
            <w:r w:rsidRPr="00350989">
              <w:rPr>
                <w:color w:val="000000"/>
                <w:sz w:val="20"/>
              </w:rPr>
              <w:t>2</w:t>
            </w:r>
          </w:p>
        </w:tc>
        <w:tc>
          <w:tcPr>
            <w:tcW w:w="1158" w:type="pct"/>
            <w:shd w:val="clear" w:color="auto" w:fill="auto"/>
            <w:noWrap/>
            <w:hideMark/>
          </w:tcPr>
          <w:p w14:paraId="1B09B23B" w14:textId="77777777" w:rsidR="001E40DC" w:rsidRPr="00350989" w:rsidRDefault="001E40DC" w:rsidP="000D7F61">
            <w:pPr>
              <w:spacing w:after="0"/>
              <w:rPr>
                <w:color w:val="000000"/>
                <w:sz w:val="20"/>
              </w:rPr>
            </w:pPr>
            <w:r w:rsidRPr="00350989">
              <w:rPr>
                <w:color w:val="000000"/>
                <w:sz w:val="20"/>
              </w:rPr>
              <w:t>2</w:t>
            </w:r>
          </w:p>
        </w:tc>
      </w:tr>
      <w:tr w:rsidR="009672E6" w:rsidRPr="00350989" w14:paraId="02817A38" w14:textId="77777777" w:rsidTr="0069684A">
        <w:trPr>
          <w:trHeight w:val="20"/>
        </w:trPr>
        <w:tc>
          <w:tcPr>
            <w:tcW w:w="1627" w:type="pct"/>
            <w:gridSpan w:val="2"/>
            <w:shd w:val="clear" w:color="auto" w:fill="auto"/>
            <w:noWrap/>
            <w:hideMark/>
          </w:tcPr>
          <w:p w14:paraId="5987D225" w14:textId="77777777" w:rsidR="001E40DC" w:rsidRPr="00350989" w:rsidRDefault="001E40DC" w:rsidP="000D7F61">
            <w:pPr>
              <w:spacing w:after="0"/>
              <w:rPr>
                <w:color w:val="000000"/>
                <w:sz w:val="20"/>
              </w:rPr>
            </w:pPr>
            <w:r w:rsidRPr="00350989">
              <w:rPr>
                <w:color w:val="000000"/>
                <w:sz w:val="20"/>
              </w:rPr>
              <w:t>Anxiety</w:t>
            </w:r>
          </w:p>
        </w:tc>
        <w:tc>
          <w:tcPr>
            <w:tcW w:w="683" w:type="pct"/>
            <w:shd w:val="clear" w:color="auto" w:fill="auto"/>
          </w:tcPr>
          <w:p w14:paraId="4A95C7C8" w14:textId="77777777" w:rsidR="001E40DC" w:rsidRPr="00350989" w:rsidRDefault="001E40DC" w:rsidP="000D7F61">
            <w:pPr>
              <w:spacing w:after="0"/>
              <w:rPr>
                <w:sz w:val="20"/>
              </w:rPr>
            </w:pPr>
            <w:r w:rsidRPr="00350989">
              <w:rPr>
                <w:color w:val="000000"/>
                <w:sz w:val="20"/>
              </w:rPr>
              <w:t>0</w:t>
            </w:r>
          </w:p>
        </w:tc>
        <w:tc>
          <w:tcPr>
            <w:tcW w:w="766" w:type="pct"/>
            <w:shd w:val="clear" w:color="auto" w:fill="auto"/>
            <w:noWrap/>
            <w:hideMark/>
          </w:tcPr>
          <w:p w14:paraId="6F1E2489" w14:textId="77777777" w:rsidR="001E40DC" w:rsidRPr="00350989" w:rsidRDefault="001E40DC" w:rsidP="000D7F61">
            <w:pPr>
              <w:spacing w:after="0"/>
              <w:rPr>
                <w:color w:val="000000"/>
                <w:sz w:val="20"/>
              </w:rPr>
            </w:pPr>
            <w:r w:rsidRPr="00350989">
              <w:rPr>
                <w:color w:val="000000"/>
                <w:sz w:val="20"/>
              </w:rPr>
              <w:t>3</w:t>
            </w:r>
          </w:p>
        </w:tc>
        <w:tc>
          <w:tcPr>
            <w:tcW w:w="766" w:type="pct"/>
            <w:shd w:val="clear" w:color="auto" w:fill="auto"/>
            <w:noWrap/>
            <w:hideMark/>
          </w:tcPr>
          <w:p w14:paraId="726C96A6" w14:textId="77777777" w:rsidR="001E40DC" w:rsidRPr="00350989" w:rsidRDefault="001E40DC" w:rsidP="000D7F61">
            <w:pPr>
              <w:spacing w:after="0"/>
              <w:rPr>
                <w:color w:val="000000"/>
                <w:sz w:val="20"/>
              </w:rPr>
            </w:pPr>
            <w:r w:rsidRPr="00350989">
              <w:rPr>
                <w:color w:val="000000"/>
                <w:sz w:val="20"/>
              </w:rPr>
              <w:t>2</w:t>
            </w:r>
          </w:p>
        </w:tc>
        <w:tc>
          <w:tcPr>
            <w:tcW w:w="1158" w:type="pct"/>
            <w:shd w:val="clear" w:color="auto" w:fill="auto"/>
            <w:noWrap/>
            <w:hideMark/>
          </w:tcPr>
          <w:p w14:paraId="4ADC5A50" w14:textId="77777777" w:rsidR="001E40DC" w:rsidRPr="00350989" w:rsidRDefault="001E40DC" w:rsidP="000D7F61">
            <w:pPr>
              <w:spacing w:after="0"/>
              <w:rPr>
                <w:color w:val="000000"/>
                <w:sz w:val="20"/>
              </w:rPr>
            </w:pPr>
            <w:r w:rsidRPr="00350989">
              <w:rPr>
                <w:color w:val="000000"/>
                <w:sz w:val="20"/>
              </w:rPr>
              <w:t>2</w:t>
            </w:r>
          </w:p>
        </w:tc>
      </w:tr>
      <w:tr w:rsidR="009672E6" w:rsidRPr="00350989" w14:paraId="165926DC" w14:textId="77777777" w:rsidTr="0069684A">
        <w:trPr>
          <w:trHeight w:val="20"/>
        </w:trPr>
        <w:tc>
          <w:tcPr>
            <w:tcW w:w="1627" w:type="pct"/>
            <w:gridSpan w:val="2"/>
            <w:shd w:val="clear" w:color="auto" w:fill="auto"/>
            <w:noWrap/>
            <w:hideMark/>
          </w:tcPr>
          <w:p w14:paraId="3C3A70F0" w14:textId="77777777" w:rsidR="001E40DC" w:rsidRPr="00350989" w:rsidRDefault="001E40DC" w:rsidP="000D7F61">
            <w:pPr>
              <w:spacing w:after="0"/>
              <w:rPr>
                <w:color w:val="000000"/>
                <w:sz w:val="20"/>
              </w:rPr>
            </w:pPr>
            <w:r w:rsidRPr="00350989">
              <w:rPr>
                <w:color w:val="000000"/>
                <w:sz w:val="20"/>
              </w:rPr>
              <w:t>Asperger Syndrome</w:t>
            </w:r>
          </w:p>
        </w:tc>
        <w:tc>
          <w:tcPr>
            <w:tcW w:w="683" w:type="pct"/>
            <w:shd w:val="clear" w:color="auto" w:fill="auto"/>
          </w:tcPr>
          <w:p w14:paraId="290B82AE" w14:textId="77777777" w:rsidR="001E40DC" w:rsidRPr="00350989" w:rsidRDefault="001E40DC" w:rsidP="000D7F61">
            <w:pPr>
              <w:spacing w:after="0"/>
              <w:rPr>
                <w:sz w:val="20"/>
              </w:rPr>
            </w:pPr>
            <w:r w:rsidRPr="00350989">
              <w:rPr>
                <w:color w:val="000000"/>
                <w:sz w:val="20"/>
              </w:rPr>
              <w:t>0</w:t>
            </w:r>
          </w:p>
        </w:tc>
        <w:tc>
          <w:tcPr>
            <w:tcW w:w="766" w:type="pct"/>
            <w:shd w:val="clear" w:color="auto" w:fill="auto"/>
            <w:noWrap/>
            <w:hideMark/>
          </w:tcPr>
          <w:p w14:paraId="39A10F60" w14:textId="77777777" w:rsidR="001E40DC" w:rsidRPr="00350989" w:rsidRDefault="001E40DC" w:rsidP="000D7F61">
            <w:pPr>
              <w:spacing w:after="0"/>
              <w:rPr>
                <w:color w:val="000000"/>
                <w:sz w:val="20"/>
              </w:rPr>
            </w:pPr>
            <w:r w:rsidRPr="00350989">
              <w:rPr>
                <w:color w:val="000000"/>
                <w:sz w:val="20"/>
              </w:rPr>
              <w:t>1</w:t>
            </w:r>
          </w:p>
        </w:tc>
        <w:tc>
          <w:tcPr>
            <w:tcW w:w="766" w:type="pct"/>
            <w:shd w:val="clear" w:color="auto" w:fill="auto"/>
            <w:noWrap/>
            <w:hideMark/>
          </w:tcPr>
          <w:p w14:paraId="72D79842" w14:textId="77777777" w:rsidR="001E40DC" w:rsidRPr="00350989" w:rsidRDefault="001E40DC" w:rsidP="000D7F61">
            <w:pPr>
              <w:spacing w:after="0"/>
              <w:rPr>
                <w:color w:val="000000"/>
                <w:sz w:val="20"/>
              </w:rPr>
            </w:pPr>
            <w:r w:rsidRPr="00350989">
              <w:rPr>
                <w:color w:val="000000"/>
                <w:sz w:val="20"/>
              </w:rPr>
              <w:t>2</w:t>
            </w:r>
          </w:p>
        </w:tc>
        <w:tc>
          <w:tcPr>
            <w:tcW w:w="1158" w:type="pct"/>
            <w:shd w:val="clear" w:color="auto" w:fill="auto"/>
            <w:noWrap/>
            <w:hideMark/>
          </w:tcPr>
          <w:p w14:paraId="53F919A1" w14:textId="77777777" w:rsidR="001E40DC" w:rsidRPr="00350989" w:rsidRDefault="001E40DC" w:rsidP="000D7F61">
            <w:pPr>
              <w:spacing w:after="0"/>
              <w:rPr>
                <w:color w:val="000000"/>
                <w:sz w:val="20"/>
              </w:rPr>
            </w:pPr>
            <w:r w:rsidRPr="00350989">
              <w:rPr>
                <w:color w:val="000000"/>
                <w:sz w:val="20"/>
              </w:rPr>
              <w:t>2</w:t>
            </w:r>
          </w:p>
        </w:tc>
      </w:tr>
      <w:tr w:rsidR="009672E6" w:rsidRPr="00350989" w14:paraId="06A711EB" w14:textId="77777777" w:rsidTr="0069684A">
        <w:trPr>
          <w:trHeight w:val="20"/>
        </w:trPr>
        <w:tc>
          <w:tcPr>
            <w:tcW w:w="1627" w:type="pct"/>
            <w:gridSpan w:val="2"/>
            <w:shd w:val="clear" w:color="auto" w:fill="auto"/>
            <w:noWrap/>
            <w:hideMark/>
          </w:tcPr>
          <w:p w14:paraId="75347294" w14:textId="77777777" w:rsidR="001E40DC" w:rsidRPr="00350989" w:rsidRDefault="001E40DC" w:rsidP="000D7F61">
            <w:pPr>
              <w:spacing w:after="0"/>
              <w:rPr>
                <w:color w:val="000000"/>
                <w:sz w:val="20"/>
              </w:rPr>
            </w:pPr>
            <w:r w:rsidRPr="00350989">
              <w:rPr>
                <w:color w:val="000000"/>
                <w:sz w:val="20"/>
              </w:rPr>
              <w:t>Dyspraxia</w:t>
            </w:r>
          </w:p>
        </w:tc>
        <w:tc>
          <w:tcPr>
            <w:tcW w:w="683" w:type="pct"/>
            <w:shd w:val="clear" w:color="auto" w:fill="auto"/>
          </w:tcPr>
          <w:p w14:paraId="781C7B7E" w14:textId="77777777" w:rsidR="001E40DC" w:rsidRPr="00350989" w:rsidRDefault="001E40DC" w:rsidP="000D7F61">
            <w:pPr>
              <w:spacing w:after="0"/>
              <w:rPr>
                <w:sz w:val="20"/>
              </w:rPr>
            </w:pPr>
            <w:r w:rsidRPr="00350989">
              <w:rPr>
                <w:color w:val="000000"/>
                <w:sz w:val="20"/>
              </w:rPr>
              <w:t>0</w:t>
            </w:r>
          </w:p>
        </w:tc>
        <w:tc>
          <w:tcPr>
            <w:tcW w:w="766" w:type="pct"/>
            <w:shd w:val="clear" w:color="auto" w:fill="auto"/>
            <w:noWrap/>
            <w:hideMark/>
          </w:tcPr>
          <w:p w14:paraId="77BA87FB" w14:textId="77777777" w:rsidR="001E40DC" w:rsidRPr="00350989" w:rsidRDefault="001E40DC" w:rsidP="000D7F61">
            <w:pPr>
              <w:spacing w:after="0"/>
              <w:rPr>
                <w:color w:val="000000"/>
                <w:sz w:val="20"/>
              </w:rPr>
            </w:pPr>
            <w:r w:rsidRPr="00350989">
              <w:rPr>
                <w:color w:val="000000"/>
                <w:sz w:val="20"/>
              </w:rPr>
              <w:t>1</w:t>
            </w:r>
          </w:p>
        </w:tc>
        <w:tc>
          <w:tcPr>
            <w:tcW w:w="766" w:type="pct"/>
            <w:shd w:val="clear" w:color="auto" w:fill="auto"/>
            <w:noWrap/>
            <w:hideMark/>
          </w:tcPr>
          <w:p w14:paraId="49FFA816" w14:textId="77777777" w:rsidR="001E40DC" w:rsidRPr="00350989" w:rsidRDefault="001E40DC" w:rsidP="000D7F61">
            <w:pPr>
              <w:spacing w:after="0"/>
              <w:rPr>
                <w:color w:val="000000"/>
                <w:sz w:val="20"/>
              </w:rPr>
            </w:pPr>
            <w:r w:rsidRPr="00350989">
              <w:rPr>
                <w:color w:val="000000"/>
                <w:sz w:val="20"/>
              </w:rPr>
              <w:t>0</w:t>
            </w:r>
          </w:p>
        </w:tc>
        <w:tc>
          <w:tcPr>
            <w:tcW w:w="1158" w:type="pct"/>
            <w:shd w:val="clear" w:color="auto" w:fill="auto"/>
            <w:noWrap/>
            <w:hideMark/>
          </w:tcPr>
          <w:p w14:paraId="6FE0303A" w14:textId="77777777" w:rsidR="001E40DC" w:rsidRPr="00350989" w:rsidRDefault="001E40DC" w:rsidP="000D7F61">
            <w:pPr>
              <w:spacing w:after="0"/>
              <w:rPr>
                <w:color w:val="000000"/>
                <w:sz w:val="20"/>
              </w:rPr>
            </w:pPr>
            <w:r w:rsidRPr="00350989">
              <w:rPr>
                <w:color w:val="000000"/>
                <w:sz w:val="20"/>
              </w:rPr>
              <w:t>0</w:t>
            </w:r>
          </w:p>
        </w:tc>
      </w:tr>
      <w:tr w:rsidR="009672E6" w:rsidRPr="00350989" w14:paraId="2FBACE3B" w14:textId="77777777" w:rsidTr="0069684A">
        <w:trPr>
          <w:trHeight w:val="20"/>
        </w:trPr>
        <w:tc>
          <w:tcPr>
            <w:tcW w:w="1627" w:type="pct"/>
            <w:gridSpan w:val="2"/>
            <w:shd w:val="clear" w:color="auto" w:fill="auto"/>
            <w:noWrap/>
            <w:hideMark/>
          </w:tcPr>
          <w:p w14:paraId="526706C3" w14:textId="77777777" w:rsidR="001E40DC" w:rsidRPr="00350989" w:rsidRDefault="001E40DC" w:rsidP="000D7F61">
            <w:pPr>
              <w:spacing w:after="0"/>
              <w:rPr>
                <w:color w:val="000000"/>
                <w:sz w:val="20"/>
              </w:rPr>
            </w:pPr>
            <w:r w:rsidRPr="00350989">
              <w:rPr>
                <w:color w:val="000000"/>
                <w:sz w:val="20"/>
              </w:rPr>
              <w:t>Epilepsy</w:t>
            </w:r>
          </w:p>
        </w:tc>
        <w:tc>
          <w:tcPr>
            <w:tcW w:w="683" w:type="pct"/>
            <w:shd w:val="clear" w:color="auto" w:fill="auto"/>
          </w:tcPr>
          <w:p w14:paraId="557B4EFD" w14:textId="77777777" w:rsidR="001E40DC" w:rsidRPr="00350989" w:rsidRDefault="001E40DC" w:rsidP="000D7F61">
            <w:pPr>
              <w:spacing w:after="0"/>
              <w:rPr>
                <w:color w:val="000000"/>
                <w:sz w:val="20"/>
              </w:rPr>
            </w:pPr>
            <w:r w:rsidRPr="00350989">
              <w:rPr>
                <w:color w:val="000000"/>
                <w:sz w:val="20"/>
              </w:rPr>
              <w:t>3</w:t>
            </w:r>
          </w:p>
        </w:tc>
        <w:tc>
          <w:tcPr>
            <w:tcW w:w="766" w:type="pct"/>
            <w:shd w:val="clear" w:color="auto" w:fill="auto"/>
            <w:noWrap/>
            <w:hideMark/>
          </w:tcPr>
          <w:p w14:paraId="76922C2E" w14:textId="77777777" w:rsidR="001E40DC" w:rsidRPr="00350989" w:rsidRDefault="001E40DC" w:rsidP="000D7F61">
            <w:pPr>
              <w:spacing w:after="0"/>
              <w:rPr>
                <w:color w:val="000000"/>
                <w:sz w:val="20"/>
              </w:rPr>
            </w:pPr>
            <w:r w:rsidRPr="00350989">
              <w:rPr>
                <w:color w:val="000000"/>
                <w:sz w:val="20"/>
              </w:rPr>
              <w:t>3</w:t>
            </w:r>
          </w:p>
        </w:tc>
        <w:tc>
          <w:tcPr>
            <w:tcW w:w="766" w:type="pct"/>
            <w:shd w:val="clear" w:color="auto" w:fill="auto"/>
            <w:noWrap/>
            <w:hideMark/>
          </w:tcPr>
          <w:p w14:paraId="60B5CC9B" w14:textId="77777777" w:rsidR="001E40DC" w:rsidRPr="00350989" w:rsidRDefault="001E40DC" w:rsidP="000D7F61">
            <w:pPr>
              <w:spacing w:after="0"/>
              <w:rPr>
                <w:color w:val="000000"/>
                <w:sz w:val="20"/>
              </w:rPr>
            </w:pPr>
            <w:r w:rsidRPr="00350989">
              <w:rPr>
                <w:color w:val="000000"/>
                <w:sz w:val="20"/>
              </w:rPr>
              <w:t>3</w:t>
            </w:r>
          </w:p>
        </w:tc>
        <w:tc>
          <w:tcPr>
            <w:tcW w:w="1158" w:type="pct"/>
            <w:shd w:val="clear" w:color="auto" w:fill="auto"/>
            <w:noWrap/>
            <w:hideMark/>
          </w:tcPr>
          <w:p w14:paraId="397745BA" w14:textId="77777777" w:rsidR="001E40DC" w:rsidRPr="00350989" w:rsidRDefault="001E40DC" w:rsidP="000D7F61">
            <w:pPr>
              <w:spacing w:after="0"/>
              <w:rPr>
                <w:color w:val="000000"/>
                <w:sz w:val="20"/>
              </w:rPr>
            </w:pPr>
            <w:r w:rsidRPr="00350989">
              <w:rPr>
                <w:color w:val="000000"/>
                <w:sz w:val="20"/>
              </w:rPr>
              <w:t>2</w:t>
            </w:r>
          </w:p>
        </w:tc>
      </w:tr>
      <w:tr w:rsidR="009672E6" w:rsidRPr="00350989" w14:paraId="73356473" w14:textId="77777777" w:rsidTr="0069684A">
        <w:trPr>
          <w:trHeight w:val="20"/>
        </w:trPr>
        <w:tc>
          <w:tcPr>
            <w:tcW w:w="1627" w:type="pct"/>
            <w:gridSpan w:val="2"/>
            <w:shd w:val="clear" w:color="auto" w:fill="auto"/>
            <w:noWrap/>
            <w:hideMark/>
          </w:tcPr>
          <w:p w14:paraId="2C868939" w14:textId="77777777" w:rsidR="001E40DC" w:rsidRPr="00350989" w:rsidRDefault="001E40DC" w:rsidP="000D7F61">
            <w:pPr>
              <w:spacing w:after="0"/>
              <w:rPr>
                <w:color w:val="000000"/>
                <w:sz w:val="20"/>
              </w:rPr>
            </w:pPr>
            <w:r w:rsidRPr="00350989">
              <w:rPr>
                <w:color w:val="000000"/>
                <w:sz w:val="20"/>
              </w:rPr>
              <w:t>Hearing Impaired</w:t>
            </w:r>
          </w:p>
        </w:tc>
        <w:tc>
          <w:tcPr>
            <w:tcW w:w="683" w:type="pct"/>
            <w:shd w:val="clear" w:color="auto" w:fill="auto"/>
          </w:tcPr>
          <w:p w14:paraId="404B16BD" w14:textId="77777777" w:rsidR="001E40DC" w:rsidRPr="00350989" w:rsidRDefault="001E40DC" w:rsidP="000D7F61">
            <w:pPr>
              <w:spacing w:after="0"/>
              <w:rPr>
                <w:color w:val="000000"/>
                <w:sz w:val="20"/>
              </w:rPr>
            </w:pPr>
            <w:r w:rsidRPr="00350989">
              <w:rPr>
                <w:color w:val="000000"/>
                <w:sz w:val="20"/>
              </w:rPr>
              <w:t>5</w:t>
            </w:r>
          </w:p>
        </w:tc>
        <w:tc>
          <w:tcPr>
            <w:tcW w:w="766" w:type="pct"/>
            <w:shd w:val="clear" w:color="auto" w:fill="auto"/>
            <w:noWrap/>
            <w:hideMark/>
          </w:tcPr>
          <w:p w14:paraId="1BB431FF" w14:textId="77777777" w:rsidR="001E40DC" w:rsidRPr="00350989" w:rsidRDefault="001E40DC" w:rsidP="000D7F61">
            <w:pPr>
              <w:spacing w:after="0"/>
              <w:rPr>
                <w:color w:val="000000"/>
                <w:sz w:val="20"/>
              </w:rPr>
            </w:pPr>
            <w:r w:rsidRPr="00350989">
              <w:rPr>
                <w:color w:val="000000"/>
                <w:sz w:val="20"/>
              </w:rPr>
              <w:t>4</w:t>
            </w:r>
          </w:p>
        </w:tc>
        <w:tc>
          <w:tcPr>
            <w:tcW w:w="766" w:type="pct"/>
            <w:shd w:val="clear" w:color="auto" w:fill="auto"/>
            <w:noWrap/>
            <w:hideMark/>
          </w:tcPr>
          <w:p w14:paraId="6AEEB53D" w14:textId="77777777" w:rsidR="001E40DC" w:rsidRPr="00350989" w:rsidRDefault="001E40DC" w:rsidP="000D7F61">
            <w:pPr>
              <w:spacing w:after="0"/>
              <w:rPr>
                <w:color w:val="000000"/>
                <w:sz w:val="20"/>
              </w:rPr>
            </w:pPr>
            <w:r w:rsidRPr="00350989">
              <w:rPr>
                <w:color w:val="000000"/>
                <w:sz w:val="20"/>
              </w:rPr>
              <w:t>5</w:t>
            </w:r>
          </w:p>
        </w:tc>
        <w:tc>
          <w:tcPr>
            <w:tcW w:w="1158" w:type="pct"/>
            <w:shd w:val="clear" w:color="auto" w:fill="auto"/>
            <w:noWrap/>
            <w:hideMark/>
          </w:tcPr>
          <w:p w14:paraId="62ABC870" w14:textId="77777777" w:rsidR="001E40DC" w:rsidRPr="00350989" w:rsidRDefault="001E40DC" w:rsidP="000D7F61">
            <w:pPr>
              <w:spacing w:after="0"/>
              <w:rPr>
                <w:color w:val="000000"/>
                <w:sz w:val="20"/>
              </w:rPr>
            </w:pPr>
            <w:r w:rsidRPr="00350989">
              <w:rPr>
                <w:color w:val="000000"/>
                <w:sz w:val="20"/>
              </w:rPr>
              <w:t>3</w:t>
            </w:r>
          </w:p>
        </w:tc>
      </w:tr>
      <w:tr w:rsidR="009672E6" w:rsidRPr="00350989" w14:paraId="3B536886" w14:textId="77777777" w:rsidTr="0069684A">
        <w:trPr>
          <w:trHeight w:val="20"/>
        </w:trPr>
        <w:tc>
          <w:tcPr>
            <w:tcW w:w="1627" w:type="pct"/>
            <w:gridSpan w:val="2"/>
            <w:shd w:val="clear" w:color="auto" w:fill="auto"/>
            <w:noWrap/>
            <w:hideMark/>
          </w:tcPr>
          <w:p w14:paraId="625B81F7" w14:textId="77777777" w:rsidR="001E40DC" w:rsidRPr="00350989" w:rsidRDefault="001E40DC" w:rsidP="000D7F61">
            <w:pPr>
              <w:spacing w:after="0"/>
              <w:rPr>
                <w:color w:val="000000"/>
                <w:sz w:val="20"/>
              </w:rPr>
            </w:pPr>
            <w:r w:rsidRPr="00350989">
              <w:rPr>
                <w:color w:val="000000"/>
                <w:sz w:val="20"/>
              </w:rPr>
              <w:t>Hydrocephaly</w:t>
            </w:r>
          </w:p>
        </w:tc>
        <w:tc>
          <w:tcPr>
            <w:tcW w:w="683" w:type="pct"/>
            <w:shd w:val="clear" w:color="auto" w:fill="auto"/>
          </w:tcPr>
          <w:p w14:paraId="6B95DA09" w14:textId="77777777" w:rsidR="001E40DC" w:rsidRPr="00350989" w:rsidRDefault="001E40DC" w:rsidP="000D7F61">
            <w:pPr>
              <w:spacing w:after="0"/>
              <w:rPr>
                <w:sz w:val="20"/>
              </w:rPr>
            </w:pPr>
            <w:r w:rsidRPr="00350989">
              <w:rPr>
                <w:color w:val="000000"/>
                <w:sz w:val="20"/>
              </w:rPr>
              <w:t>0</w:t>
            </w:r>
          </w:p>
        </w:tc>
        <w:tc>
          <w:tcPr>
            <w:tcW w:w="766" w:type="pct"/>
            <w:shd w:val="clear" w:color="auto" w:fill="auto"/>
            <w:noWrap/>
            <w:hideMark/>
          </w:tcPr>
          <w:p w14:paraId="6EDA8E64" w14:textId="77777777" w:rsidR="001E40DC" w:rsidRPr="00350989" w:rsidRDefault="001E40DC" w:rsidP="000D7F61">
            <w:pPr>
              <w:spacing w:after="0"/>
              <w:rPr>
                <w:color w:val="000000"/>
                <w:sz w:val="20"/>
              </w:rPr>
            </w:pPr>
            <w:r w:rsidRPr="00350989">
              <w:rPr>
                <w:color w:val="000000"/>
                <w:sz w:val="20"/>
              </w:rPr>
              <w:t>1</w:t>
            </w:r>
          </w:p>
        </w:tc>
        <w:tc>
          <w:tcPr>
            <w:tcW w:w="766" w:type="pct"/>
            <w:shd w:val="clear" w:color="auto" w:fill="auto"/>
            <w:noWrap/>
            <w:hideMark/>
          </w:tcPr>
          <w:p w14:paraId="51958DBC" w14:textId="77777777" w:rsidR="001E40DC" w:rsidRPr="00350989" w:rsidRDefault="001E40DC" w:rsidP="000D7F61">
            <w:pPr>
              <w:spacing w:after="0"/>
              <w:rPr>
                <w:color w:val="000000"/>
                <w:sz w:val="20"/>
              </w:rPr>
            </w:pPr>
            <w:r w:rsidRPr="00350989">
              <w:rPr>
                <w:color w:val="000000"/>
                <w:sz w:val="20"/>
              </w:rPr>
              <w:t>0</w:t>
            </w:r>
          </w:p>
        </w:tc>
        <w:tc>
          <w:tcPr>
            <w:tcW w:w="1158" w:type="pct"/>
            <w:shd w:val="clear" w:color="auto" w:fill="auto"/>
            <w:noWrap/>
            <w:hideMark/>
          </w:tcPr>
          <w:p w14:paraId="716B456D" w14:textId="77777777" w:rsidR="001E40DC" w:rsidRPr="00350989" w:rsidRDefault="001E40DC" w:rsidP="000D7F61">
            <w:pPr>
              <w:spacing w:after="0"/>
              <w:rPr>
                <w:color w:val="000000"/>
                <w:sz w:val="20"/>
              </w:rPr>
            </w:pPr>
            <w:r w:rsidRPr="00350989">
              <w:rPr>
                <w:color w:val="000000"/>
                <w:sz w:val="20"/>
              </w:rPr>
              <w:t>0</w:t>
            </w:r>
          </w:p>
        </w:tc>
      </w:tr>
      <w:tr w:rsidR="009672E6" w:rsidRPr="00350989" w14:paraId="1EA96BA2" w14:textId="77777777" w:rsidTr="0069684A">
        <w:trPr>
          <w:trHeight w:val="20"/>
        </w:trPr>
        <w:tc>
          <w:tcPr>
            <w:tcW w:w="1627" w:type="pct"/>
            <w:gridSpan w:val="2"/>
            <w:shd w:val="clear" w:color="auto" w:fill="auto"/>
            <w:noWrap/>
            <w:hideMark/>
          </w:tcPr>
          <w:p w14:paraId="09DDB553" w14:textId="77777777" w:rsidR="001E40DC" w:rsidRPr="00350989" w:rsidRDefault="001E40DC" w:rsidP="000D7F61">
            <w:pPr>
              <w:spacing w:after="0"/>
              <w:rPr>
                <w:color w:val="000000"/>
                <w:sz w:val="20"/>
              </w:rPr>
            </w:pPr>
            <w:r w:rsidRPr="00350989">
              <w:rPr>
                <w:color w:val="000000"/>
                <w:sz w:val="20"/>
              </w:rPr>
              <w:t>Multiple Sclerosis</w:t>
            </w:r>
          </w:p>
        </w:tc>
        <w:tc>
          <w:tcPr>
            <w:tcW w:w="683" w:type="pct"/>
            <w:shd w:val="clear" w:color="auto" w:fill="auto"/>
          </w:tcPr>
          <w:p w14:paraId="1981E00F" w14:textId="77777777" w:rsidR="001E40DC" w:rsidRPr="00350989" w:rsidRDefault="001E40DC" w:rsidP="000D7F61">
            <w:pPr>
              <w:spacing w:after="0"/>
              <w:rPr>
                <w:sz w:val="20"/>
              </w:rPr>
            </w:pPr>
            <w:r w:rsidRPr="00350989">
              <w:rPr>
                <w:color w:val="000000"/>
                <w:sz w:val="20"/>
              </w:rPr>
              <w:t>0</w:t>
            </w:r>
          </w:p>
        </w:tc>
        <w:tc>
          <w:tcPr>
            <w:tcW w:w="766" w:type="pct"/>
            <w:shd w:val="clear" w:color="auto" w:fill="auto"/>
            <w:noWrap/>
            <w:hideMark/>
          </w:tcPr>
          <w:p w14:paraId="267D6E0D" w14:textId="77777777" w:rsidR="001E40DC" w:rsidRPr="00350989" w:rsidRDefault="001E40DC" w:rsidP="000D7F61">
            <w:pPr>
              <w:spacing w:after="0"/>
              <w:rPr>
                <w:color w:val="000000"/>
                <w:sz w:val="20"/>
              </w:rPr>
            </w:pPr>
            <w:r w:rsidRPr="00350989">
              <w:rPr>
                <w:color w:val="000000"/>
                <w:sz w:val="20"/>
              </w:rPr>
              <w:t>1</w:t>
            </w:r>
          </w:p>
        </w:tc>
        <w:tc>
          <w:tcPr>
            <w:tcW w:w="766" w:type="pct"/>
            <w:shd w:val="clear" w:color="auto" w:fill="auto"/>
            <w:noWrap/>
            <w:hideMark/>
          </w:tcPr>
          <w:p w14:paraId="34F3B0F4" w14:textId="77777777" w:rsidR="001E40DC" w:rsidRPr="00350989" w:rsidRDefault="001E40DC" w:rsidP="000D7F61">
            <w:pPr>
              <w:spacing w:after="0"/>
              <w:rPr>
                <w:color w:val="000000"/>
                <w:sz w:val="20"/>
              </w:rPr>
            </w:pPr>
            <w:r w:rsidRPr="00350989">
              <w:rPr>
                <w:color w:val="000000"/>
                <w:sz w:val="20"/>
              </w:rPr>
              <w:t>1</w:t>
            </w:r>
          </w:p>
        </w:tc>
        <w:tc>
          <w:tcPr>
            <w:tcW w:w="1158" w:type="pct"/>
            <w:shd w:val="clear" w:color="auto" w:fill="auto"/>
            <w:noWrap/>
            <w:hideMark/>
          </w:tcPr>
          <w:p w14:paraId="03D85E61" w14:textId="77777777" w:rsidR="001E40DC" w:rsidRPr="00350989" w:rsidRDefault="001E40DC" w:rsidP="000D7F61">
            <w:pPr>
              <w:spacing w:after="0"/>
              <w:rPr>
                <w:color w:val="000000"/>
                <w:sz w:val="20"/>
              </w:rPr>
            </w:pPr>
            <w:r w:rsidRPr="00350989">
              <w:rPr>
                <w:color w:val="000000"/>
                <w:sz w:val="20"/>
              </w:rPr>
              <w:t>2</w:t>
            </w:r>
          </w:p>
        </w:tc>
      </w:tr>
      <w:tr w:rsidR="009672E6" w:rsidRPr="00350989" w14:paraId="0C911864" w14:textId="77777777" w:rsidTr="0069684A">
        <w:trPr>
          <w:trHeight w:val="20"/>
        </w:trPr>
        <w:tc>
          <w:tcPr>
            <w:tcW w:w="1627" w:type="pct"/>
            <w:gridSpan w:val="2"/>
            <w:shd w:val="clear" w:color="auto" w:fill="auto"/>
            <w:noWrap/>
            <w:hideMark/>
          </w:tcPr>
          <w:p w14:paraId="6492E8C3" w14:textId="77777777" w:rsidR="001E40DC" w:rsidRPr="00350989" w:rsidRDefault="001E40DC" w:rsidP="000D7F61">
            <w:pPr>
              <w:spacing w:after="0"/>
              <w:rPr>
                <w:color w:val="000000"/>
                <w:sz w:val="20"/>
              </w:rPr>
            </w:pPr>
            <w:r w:rsidRPr="00350989">
              <w:rPr>
                <w:color w:val="000000"/>
                <w:sz w:val="20"/>
              </w:rPr>
              <w:t>Neuroblastoma</w:t>
            </w:r>
          </w:p>
        </w:tc>
        <w:tc>
          <w:tcPr>
            <w:tcW w:w="683" w:type="pct"/>
            <w:shd w:val="clear" w:color="auto" w:fill="auto"/>
          </w:tcPr>
          <w:p w14:paraId="72F8628B" w14:textId="77777777" w:rsidR="001E40DC" w:rsidRPr="00350989" w:rsidRDefault="001E40DC" w:rsidP="000D7F61">
            <w:pPr>
              <w:spacing w:after="0"/>
              <w:rPr>
                <w:sz w:val="20"/>
              </w:rPr>
            </w:pPr>
            <w:r w:rsidRPr="00350989">
              <w:rPr>
                <w:color w:val="000000"/>
                <w:sz w:val="20"/>
              </w:rPr>
              <w:t>0</w:t>
            </w:r>
          </w:p>
        </w:tc>
        <w:tc>
          <w:tcPr>
            <w:tcW w:w="766" w:type="pct"/>
            <w:shd w:val="clear" w:color="auto" w:fill="auto"/>
            <w:noWrap/>
            <w:hideMark/>
          </w:tcPr>
          <w:p w14:paraId="3DE9694E" w14:textId="77777777" w:rsidR="001E40DC" w:rsidRPr="00350989" w:rsidRDefault="001E40DC" w:rsidP="000D7F61">
            <w:pPr>
              <w:spacing w:after="0"/>
              <w:rPr>
                <w:color w:val="212121"/>
                <w:sz w:val="20"/>
              </w:rPr>
            </w:pPr>
            <w:r w:rsidRPr="00350989">
              <w:rPr>
                <w:color w:val="000000"/>
                <w:sz w:val="20"/>
              </w:rPr>
              <w:t>1</w:t>
            </w:r>
          </w:p>
        </w:tc>
        <w:tc>
          <w:tcPr>
            <w:tcW w:w="766" w:type="pct"/>
            <w:shd w:val="clear" w:color="auto" w:fill="auto"/>
            <w:noWrap/>
            <w:hideMark/>
          </w:tcPr>
          <w:p w14:paraId="3E79A416" w14:textId="77777777" w:rsidR="001E40DC" w:rsidRPr="00350989" w:rsidRDefault="001E40DC" w:rsidP="000D7F61">
            <w:pPr>
              <w:spacing w:after="0"/>
              <w:rPr>
                <w:color w:val="000000"/>
                <w:sz w:val="20"/>
              </w:rPr>
            </w:pPr>
            <w:r w:rsidRPr="00350989">
              <w:rPr>
                <w:color w:val="000000"/>
                <w:sz w:val="20"/>
              </w:rPr>
              <w:t>1</w:t>
            </w:r>
          </w:p>
        </w:tc>
        <w:tc>
          <w:tcPr>
            <w:tcW w:w="1158" w:type="pct"/>
            <w:shd w:val="clear" w:color="auto" w:fill="auto"/>
            <w:noWrap/>
            <w:hideMark/>
          </w:tcPr>
          <w:p w14:paraId="5B98B629" w14:textId="77777777" w:rsidR="001E40DC" w:rsidRPr="00350989" w:rsidRDefault="001E40DC" w:rsidP="000D7F61">
            <w:pPr>
              <w:spacing w:after="0"/>
              <w:rPr>
                <w:color w:val="000000"/>
                <w:sz w:val="20"/>
              </w:rPr>
            </w:pPr>
            <w:r w:rsidRPr="00350989">
              <w:rPr>
                <w:color w:val="000000"/>
                <w:sz w:val="20"/>
              </w:rPr>
              <w:t>0</w:t>
            </w:r>
          </w:p>
        </w:tc>
      </w:tr>
      <w:tr w:rsidR="009672E6" w:rsidRPr="00350989" w14:paraId="04DCE16F" w14:textId="77777777" w:rsidTr="0069684A">
        <w:trPr>
          <w:trHeight w:val="20"/>
        </w:trPr>
        <w:tc>
          <w:tcPr>
            <w:tcW w:w="1627" w:type="pct"/>
            <w:gridSpan w:val="2"/>
            <w:shd w:val="clear" w:color="auto" w:fill="auto"/>
            <w:noWrap/>
            <w:hideMark/>
          </w:tcPr>
          <w:p w14:paraId="35617178" w14:textId="77777777" w:rsidR="001E40DC" w:rsidRPr="00350989" w:rsidRDefault="001E40DC" w:rsidP="000D7F61">
            <w:pPr>
              <w:spacing w:after="0"/>
              <w:rPr>
                <w:color w:val="000000"/>
                <w:sz w:val="20"/>
              </w:rPr>
            </w:pPr>
            <w:r w:rsidRPr="00350989">
              <w:rPr>
                <w:color w:val="000000"/>
                <w:sz w:val="20"/>
              </w:rPr>
              <w:t>Panic Attacks</w:t>
            </w:r>
          </w:p>
        </w:tc>
        <w:tc>
          <w:tcPr>
            <w:tcW w:w="683" w:type="pct"/>
            <w:shd w:val="clear" w:color="auto" w:fill="auto"/>
          </w:tcPr>
          <w:p w14:paraId="764AEAD2" w14:textId="77777777" w:rsidR="001E40DC" w:rsidRPr="00350989" w:rsidRDefault="001E40DC" w:rsidP="000D7F61">
            <w:pPr>
              <w:spacing w:after="0"/>
              <w:rPr>
                <w:color w:val="000000"/>
                <w:sz w:val="20"/>
              </w:rPr>
            </w:pPr>
            <w:r w:rsidRPr="00350989">
              <w:rPr>
                <w:color w:val="000000"/>
                <w:sz w:val="20"/>
              </w:rPr>
              <w:t>3</w:t>
            </w:r>
          </w:p>
        </w:tc>
        <w:tc>
          <w:tcPr>
            <w:tcW w:w="766" w:type="pct"/>
            <w:shd w:val="clear" w:color="auto" w:fill="auto"/>
            <w:noWrap/>
            <w:hideMark/>
          </w:tcPr>
          <w:p w14:paraId="331F7F83" w14:textId="77777777" w:rsidR="001E40DC" w:rsidRPr="00350989" w:rsidRDefault="001E40DC" w:rsidP="000D7F61">
            <w:pPr>
              <w:spacing w:after="0"/>
              <w:rPr>
                <w:color w:val="000000"/>
                <w:sz w:val="20"/>
              </w:rPr>
            </w:pPr>
            <w:r w:rsidRPr="00350989">
              <w:rPr>
                <w:color w:val="000000"/>
                <w:sz w:val="20"/>
              </w:rPr>
              <w:t>1</w:t>
            </w:r>
          </w:p>
        </w:tc>
        <w:tc>
          <w:tcPr>
            <w:tcW w:w="766" w:type="pct"/>
            <w:shd w:val="clear" w:color="auto" w:fill="auto"/>
            <w:noWrap/>
            <w:hideMark/>
          </w:tcPr>
          <w:p w14:paraId="5A6B9CEE" w14:textId="77777777" w:rsidR="001E40DC" w:rsidRPr="00350989" w:rsidRDefault="001E40DC" w:rsidP="000D7F61">
            <w:pPr>
              <w:spacing w:after="0"/>
              <w:rPr>
                <w:color w:val="000000"/>
                <w:sz w:val="20"/>
              </w:rPr>
            </w:pPr>
            <w:r w:rsidRPr="00350989">
              <w:rPr>
                <w:color w:val="000000"/>
                <w:sz w:val="20"/>
              </w:rPr>
              <w:t>3</w:t>
            </w:r>
          </w:p>
        </w:tc>
        <w:tc>
          <w:tcPr>
            <w:tcW w:w="1158" w:type="pct"/>
            <w:shd w:val="clear" w:color="auto" w:fill="auto"/>
            <w:noWrap/>
            <w:hideMark/>
          </w:tcPr>
          <w:p w14:paraId="6D703638" w14:textId="77777777" w:rsidR="001E40DC" w:rsidRPr="00350989" w:rsidRDefault="001E40DC" w:rsidP="000D7F61">
            <w:pPr>
              <w:spacing w:after="0"/>
              <w:rPr>
                <w:color w:val="000000"/>
                <w:sz w:val="20"/>
              </w:rPr>
            </w:pPr>
            <w:r w:rsidRPr="00350989">
              <w:rPr>
                <w:color w:val="000000"/>
                <w:sz w:val="20"/>
              </w:rPr>
              <w:t>0</w:t>
            </w:r>
          </w:p>
        </w:tc>
      </w:tr>
      <w:tr w:rsidR="009672E6" w:rsidRPr="00350989" w14:paraId="60CE464B" w14:textId="77777777" w:rsidTr="0069684A">
        <w:trPr>
          <w:trHeight w:val="20"/>
        </w:trPr>
        <w:tc>
          <w:tcPr>
            <w:tcW w:w="1627" w:type="pct"/>
            <w:gridSpan w:val="2"/>
            <w:shd w:val="clear" w:color="auto" w:fill="auto"/>
            <w:noWrap/>
            <w:hideMark/>
          </w:tcPr>
          <w:p w14:paraId="28C0FFC5" w14:textId="77777777" w:rsidR="001E40DC" w:rsidRPr="00350989" w:rsidRDefault="001E40DC" w:rsidP="000D7F61">
            <w:pPr>
              <w:spacing w:after="0"/>
              <w:rPr>
                <w:color w:val="000000"/>
                <w:sz w:val="20"/>
              </w:rPr>
            </w:pPr>
            <w:r w:rsidRPr="00350989">
              <w:rPr>
                <w:color w:val="000000"/>
                <w:sz w:val="20"/>
              </w:rPr>
              <w:t>Psychological Problems</w:t>
            </w:r>
          </w:p>
        </w:tc>
        <w:tc>
          <w:tcPr>
            <w:tcW w:w="683" w:type="pct"/>
            <w:shd w:val="clear" w:color="auto" w:fill="auto"/>
          </w:tcPr>
          <w:p w14:paraId="0F20F4FF" w14:textId="77777777" w:rsidR="001E40DC" w:rsidRPr="00350989" w:rsidRDefault="001E40DC" w:rsidP="000D7F61">
            <w:pPr>
              <w:spacing w:after="0"/>
              <w:rPr>
                <w:sz w:val="20"/>
              </w:rPr>
            </w:pPr>
            <w:r w:rsidRPr="00350989">
              <w:rPr>
                <w:color w:val="000000"/>
                <w:sz w:val="20"/>
              </w:rPr>
              <w:t>0</w:t>
            </w:r>
          </w:p>
        </w:tc>
        <w:tc>
          <w:tcPr>
            <w:tcW w:w="766" w:type="pct"/>
            <w:shd w:val="clear" w:color="auto" w:fill="auto"/>
            <w:noWrap/>
            <w:hideMark/>
          </w:tcPr>
          <w:p w14:paraId="7E639899" w14:textId="77777777" w:rsidR="001E40DC" w:rsidRPr="00350989" w:rsidRDefault="001E40DC" w:rsidP="000D7F61">
            <w:pPr>
              <w:spacing w:after="0"/>
              <w:rPr>
                <w:color w:val="000000"/>
                <w:sz w:val="20"/>
              </w:rPr>
            </w:pPr>
            <w:r w:rsidRPr="00350989">
              <w:rPr>
                <w:color w:val="000000"/>
                <w:sz w:val="20"/>
              </w:rPr>
              <w:t>1</w:t>
            </w:r>
          </w:p>
        </w:tc>
        <w:tc>
          <w:tcPr>
            <w:tcW w:w="766" w:type="pct"/>
            <w:shd w:val="clear" w:color="auto" w:fill="auto"/>
            <w:noWrap/>
            <w:hideMark/>
          </w:tcPr>
          <w:p w14:paraId="4DE22E1A" w14:textId="77777777" w:rsidR="001E40DC" w:rsidRPr="00350989" w:rsidRDefault="001E40DC" w:rsidP="000D7F61">
            <w:pPr>
              <w:spacing w:after="0"/>
              <w:rPr>
                <w:color w:val="000000"/>
                <w:sz w:val="20"/>
              </w:rPr>
            </w:pPr>
            <w:r w:rsidRPr="00350989">
              <w:rPr>
                <w:color w:val="000000"/>
                <w:sz w:val="20"/>
              </w:rPr>
              <w:t>1</w:t>
            </w:r>
          </w:p>
        </w:tc>
        <w:tc>
          <w:tcPr>
            <w:tcW w:w="1158" w:type="pct"/>
            <w:shd w:val="clear" w:color="auto" w:fill="auto"/>
            <w:noWrap/>
            <w:hideMark/>
          </w:tcPr>
          <w:p w14:paraId="790F737C" w14:textId="77777777" w:rsidR="001E40DC" w:rsidRPr="00350989" w:rsidRDefault="001E40DC" w:rsidP="000D7F61">
            <w:pPr>
              <w:spacing w:after="0"/>
              <w:rPr>
                <w:color w:val="000000"/>
                <w:sz w:val="20"/>
              </w:rPr>
            </w:pPr>
            <w:r w:rsidRPr="00350989">
              <w:rPr>
                <w:color w:val="000000"/>
                <w:sz w:val="20"/>
              </w:rPr>
              <w:t>1</w:t>
            </w:r>
          </w:p>
        </w:tc>
      </w:tr>
      <w:tr w:rsidR="009672E6" w:rsidRPr="00350989" w14:paraId="6A3AA30D" w14:textId="77777777" w:rsidTr="0069684A">
        <w:trPr>
          <w:trHeight w:val="20"/>
        </w:trPr>
        <w:tc>
          <w:tcPr>
            <w:tcW w:w="1627" w:type="pct"/>
            <w:gridSpan w:val="2"/>
            <w:shd w:val="clear" w:color="auto" w:fill="auto"/>
            <w:noWrap/>
            <w:hideMark/>
          </w:tcPr>
          <w:p w14:paraId="646B9AF6" w14:textId="77777777" w:rsidR="001E40DC" w:rsidRPr="00350989" w:rsidRDefault="001E40DC" w:rsidP="000D7F61">
            <w:pPr>
              <w:spacing w:after="0"/>
              <w:rPr>
                <w:color w:val="000000"/>
                <w:sz w:val="20"/>
              </w:rPr>
            </w:pPr>
            <w:r w:rsidRPr="00350989">
              <w:rPr>
                <w:color w:val="000000"/>
                <w:sz w:val="20"/>
              </w:rPr>
              <w:t>Transplantation</w:t>
            </w:r>
          </w:p>
        </w:tc>
        <w:tc>
          <w:tcPr>
            <w:tcW w:w="683" w:type="pct"/>
            <w:shd w:val="clear" w:color="auto" w:fill="auto"/>
          </w:tcPr>
          <w:p w14:paraId="0F24C8E7" w14:textId="77777777" w:rsidR="001E40DC" w:rsidRPr="00350989" w:rsidRDefault="001E40DC" w:rsidP="000D7F61">
            <w:pPr>
              <w:spacing w:after="0"/>
              <w:rPr>
                <w:sz w:val="20"/>
              </w:rPr>
            </w:pPr>
            <w:r w:rsidRPr="00350989">
              <w:rPr>
                <w:color w:val="000000"/>
                <w:sz w:val="20"/>
              </w:rPr>
              <w:t>0</w:t>
            </w:r>
          </w:p>
        </w:tc>
        <w:tc>
          <w:tcPr>
            <w:tcW w:w="766" w:type="pct"/>
            <w:shd w:val="clear" w:color="auto" w:fill="auto"/>
            <w:noWrap/>
            <w:hideMark/>
          </w:tcPr>
          <w:p w14:paraId="113C1139" w14:textId="77777777" w:rsidR="001E40DC" w:rsidRPr="00350989" w:rsidRDefault="001E40DC" w:rsidP="000D7F61">
            <w:pPr>
              <w:spacing w:after="0"/>
              <w:rPr>
                <w:color w:val="000000"/>
                <w:sz w:val="20"/>
              </w:rPr>
            </w:pPr>
            <w:r w:rsidRPr="00350989">
              <w:rPr>
                <w:color w:val="000000"/>
                <w:sz w:val="20"/>
              </w:rPr>
              <w:t>1</w:t>
            </w:r>
          </w:p>
        </w:tc>
        <w:tc>
          <w:tcPr>
            <w:tcW w:w="766" w:type="pct"/>
            <w:shd w:val="clear" w:color="auto" w:fill="auto"/>
            <w:noWrap/>
            <w:hideMark/>
          </w:tcPr>
          <w:p w14:paraId="486D803D" w14:textId="77777777" w:rsidR="001E40DC" w:rsidRPr="00350989" w:rsidRDefault="001E40DC" w:rsidP="000D7F61">
            <w:pPr>
              <w:spacing w:after="0"/>
              <w:rPr>
                <w:color w:val="000000"/>
                <w:sz w:val="20"/>
              </w:rPr>
            </w:pPr>
            <w:r w:rsidRPr="00350989">
              <w:rPr>
                <w:color w:val="000000"/>
                <w:sz w:val="20"/>
              </w:rPr>
              <w:t>0</w:t>
            </w:r>
          </w:p>
        </w:tc>
        <w:tc>
          <w:tcPr>
            <w:tcW w:w="1158" w:type="pct"/>
            <w:shd w:val="clear" w:color="auto" w:fill="auto"/>
            <w:noWrap/>
            <w:hideMark/>
          </w:tcPr>
          <w:p w14:paraId="2BDD7768" w14:textId="77777777" w:rsidR="001E40DC" w:rsidRPr="00350989" w:rsidRDefault="001E40DC" w:rsidP="000D7F61">
            <w:pPr>
              <w:spacing w:after="0"/>
              <w:rPr>
                <w:color w:val="000000"/>
                <w:sz w:val="20"/>
              </w:rPr>
            </w:pPr>
            <w:r w:rsidRPr="00350989">
              <w:rPr>
                <w:color w:val="000000"/>
                <w:sz w:val="20"/>
              </w:rPr>
              <w:t>0</w:t>
            </w:r>
          </w:p>
        </w:tc>
      </w:tr>
      <w:tr w:rsidR="009672E6" w:rsidRPr="00350989" w14:paraId="6DE07C10" w14:textId="77777777" w:rsidTr="0069684A">
        <w:trPr>
          <w:trHeight w:val="20"/>
        </w:trPr>
        <w:tc>
          <w:tcPr>
            <w:tcW w:w="1627" w:type="pct"/>
            <w:gridSpan w:val="2"/>
            <w:shd w:val="clear" w:color="auto" w:fill="auto"/>
            <w:noWrap/>
            <w:hideMark/>
          </w:tcPr>
          <w:p w14:paraId="668E147E" w14:textId="77777777" w:rsidR="001E40DC" w:rsidRPr="00350989" w:rsidRDefault="001E40DC" w:rsidP="000D7F61">
            <w:pPr>
              <w:spacing w:after="0"/>
              <w:rPr>
                <w:color w:val="000000"/>
                <w:sz w:val="20"/>
              </w:rPr>
            </w:pPr>
            <w:r w:rsidRPr="00350989">
              <w:rPr>
                <w:color w:val="000000"/>
                <w:sz w:val="20"/>
              </w:rPr>
              <w:t>Visually Impaired</w:t>
            </w:r>
          </w:p>
        </w:tc>
        <w:tc>
          <w:tcPr>
            <w:tcW w:w="683" w:type="pct"/>
            <w:shd w:val="clear" w:color="auto" w:fill="auto"/>
          </w:tcPr>
          <w:p w14:paraId="73B51FC1" w14:textId="77777777" w:rsidR="001E40DC" w:rsidRPr="00350989" w:rsidRDefault="001E40DC" w:rsidP="000D7F61">
            <w:pPr>
              <w:spacing w:after="0"/>
              <w:rPr>
                <w:color w:val="000000"/>
                <w:sz w:val="20"/>
              </w:rPr>
            </w:pPr>
            <w:r w:rsidRPr="00350989">
              <w:rPr>
                <w:color w:val="000000"/>
                <w:sz w:val="20"/>
              </w:rPr>
              <w:t>1</w:t>
            </w:r>
          </w:p>
        </w:tc>
        <w:tc>
          <w:tcPr>
            <w:tcW w:w="766" w:type="pct"/>
            <w:shd w:val="clear" w:color="auto" w:fill="auto"/>
            <w:noWrap/>
            <w:hideMark/>
          </w:tcPr>
          <w:p w14:paraId="0690243B" w14:textId="77777777" w:rsidR="001E40DC" w:rsidRPr="00350989" w:rsidRDefault="001E40DC" w:rsidP="000D7F61">
            <w:pPr>
              <w:spacing w:after="0"/>
              <w:rPr>
                <w:color w:val="000000"/>
                <w:sz w:val="20"/>
              </w:rPr>
            </w:pPr>
            <w:r w:rsidRPr="00350989">
              <w:rPr>
                <w:color w:val="000000"/>
                <w:sz w:val="20"/>
              </w:rPr>
              <w:t>1</w:t>
            </w:r>
          </w:p>
        </w:tc>
        <w:tc>
          <w:tcPr>
            <w:tcW w:w="766" w:type="pct"/>
            <w:shd w:val="clear" w:color="auto" w:fill="auto"/>
            <w:noWrap/>
            <w:hideMark/>
          </w:tcPr>
          <w:p w14:paraId="62CA9B50" w14:textId="77777777" w:rsidR="001E40DC" w:rsidRPr="00350989" w:rsidRDefault="001E40DC" w:rsidP="000D7F61">
            <w:pPr>
              <w:spacing w:after="0"/>
              <w:rPr>
                <w:color w:val="000000"/>
                <w:sz w:val="20"/>
              </w:rPr>
            </w:pPr>
            <w:r w:rsidRPr="00350989">
              <w:rPr>
                <w:color w:val="000000"/>
                <w:sz w:val="20"/>
              </w:rPr>
              <w:t>3</w:t>
            </w:r>
          </w:p>
        </w:tc>
        <w:tc>
          <w:tcPr>
            <w:tcW w:w="1158" w:type="pct"/>
            <w:shd w:val="clear" w:color="auto" w:fill="auto"/>
            <w:noWrap/>
            <w:hideMark/>
          </w:tcPr>
          <w:p w14:paraId="11B52887" w14:textId="77777777" w:rsidR="001E40DC" w:rsidRPr="00350989" w:rsidRDefault="001E40DC" w:rsidP="000D7F61">
            <w:pPr>
              <w:spacing w:after="0"/>
              <w:rPr>
                <w:color w:val="000000"/>
                <w:sz w:val="20"/>
              </w:rPr>
            </w:pPr>
            <w:r w:rsidRPr="00350989">
              <w:rPr>
                <w:color w:val="000000"/>
                <w:sz w:val="20"/>
              </w:rPr>
              <w:t>3</w:t>
            </w:r>
          </w:p>
        </w:tc>
      </w:tr>
      <w:tr w:rsidR="001E40DC" w:rsidRPr="00350989" w14:paraId="6A2336A9" w14:textId="77777777" w:rsidTr="0069684A">
        <w:trPr>
          <w:trHeight w:val="20"/>
        </w:trPr>
        <w:tc>
          <w:tcPr>
            <w:tcW w:w="1627" w:type="pct"/>
            <w:gridSpan w:val="2"/>
            <w:shd w:val="clear" w:color="auto" w:fill="auto"/>
            <w:noWrap/>
            <w:hideMark/>
          </w:tcPr>
          <w:p w14:paraId="5804546B"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Dyslexia</w:t>
            </w:r>
          </w:p>
        </w:tc>
        <w:tc>
          <w:tcPr>
            <w:tcW w:w="683" w:type="pct"/>
            <w:shd w:val="clear" w:color="auto" w:fill="auto"/>
          </w:tcPr>
          <w:p w14:paraId="39276836" w14:textId="77777777" w:rsidR="001E40DC" w:rsidRPr="00350989" w:rsidRDefault="001E40DC" w:rsidP="000D7F61">
            <w:pPr>
              <w:tabs>
                <w:tab w:val="center" w:pos="526"/>
                <w:tab w:val="right" w:pos="1052"/>
              </w:tabs>
              <w:spacing w:after="0"/>
              <w:rPr>
                <w:rFonts w:eastAsia="Times New Roman"/>
                <w:color w:val="000000"/>
                <w:sz w:val="20"/>
                <w:lang w:eastAsia="el-GR"/>
              </w:rPr>
            </w:pPr>
            <w:r w:rsidRPr="00350989">
              <w:rPr>
                <w:rFonts w:eastAsia="Times New Roman"/>
                <w:color w:val="000000"/>
                <w:sz w:val="20"/>
                <w:lang w:eastAsia="el-GR"/>
              </w:rPr>
              <w:tab/>
            </w:r>
            <w:r w:rsidRPr="00350989">
              <w:rPr>
                <w:rFonts w:eastAsia="Times New Roman"/>
                <w:color w:val="000000"/>
                <w:sz w:val="20"/>
                <w:lang w:eastAsia="el-GR"/>
              </w:rPr>
              <w:tab/>
              <w:t>21</w:t>
            </w:r>
          </w:p>
        </w:tc>
        <w:tc>
          <w:tcPr>
            <w:tcW w:w="766" w:type="pct"/>
            <w:shd w:val="clear" w:color="auto" w:fill="auto"/>
            <w:noWrap/>
            <w:hideMark/>
          </w:tcPr>
          <w:p w14:paraId="37D5A334"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31</w:t>
            </w:r>
          </w:p>
        </w:tc>
        <w:tc>
          <w:tcPr>
            <w:tcW w:w="766" w:type="pct"/>
            <w:shd w:val="clear" w:color="auto" w:fill="auto"/>
            <w:noWrap/>
            <w:hideMark/>
          </w:tcPr>
          <w:p w14:paraId="19E2D597"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32</w:t>
            </w:r>
          </w:p>
        </w:tc>
        <w:tc>
          <w:tcPr>
            <w:tcW w:w="1158" w:type="pct"/>
            <w:shd w:val="clear" w:color="auto" w:fill="auto"/>
            <w:noWrap/>
            <w:hideMark/>
          </w:tcPr>
          <w:p w14:paraId="2E28B136"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Not available yet*</w:t>
            </w:r>
          </w:p>
        </w:tc>
      </w:tr>
      <w:tr w:rsidR="001E40DC" w:rsidRPr="00350989" w14:paraId="5A5E219B" w14:textId="77777777" w:rsidTr="0069684A">
        <w:trPr>
          <w:trHeight w:val="20"/>
        </w:trPr>
        <w:tc>
          <w:tcPr>
            <w:tcW w:w="1627" w:type="pct"/>
            <w:gridSpan w:val="2"/>
            <w:shd w:val="clear" w:color="auto" w:fill="auto"/>
            <w:noWrap/>
            <w:hideMark/>
          </w:tcPr>
          <w:p w14:paraId="63F4EDA0"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Learning Difficulties</w:t>
            </w:r>
          </w:p>
        </w:tc>
        <w:tc>
          <w:tcPr>
            <w:tcW w:w="683" w:type="pct"/>
            <w:shd w:val="clear" w:color="auto" w:fill="auto"/>
          </w:tcPr>
          <w:p w14:paraId="464CF31C"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5</w:t>
            </w:r>
          </w:p>
        </w:tc>
        <w:tc>
          <w:tcPr>
            <w:tcW w:w="766" w:type="pct"/>
            <w:shd w:val="clear" w:color="auto" w:fill="auto"/>
            <w:noWrap/>
            <w:hideMark/>
          </w:tcPr>
          <w:p w14:paraId="111746CD"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0</w:t>
            </w:r>
          </w:p>
        </w:tc>
        <w:tc>
          <w:tcPr>
            <w:tcW w:w="766" w:type="pct"/>
            <w:shd w:val="clear" w:color="auto" w:fill="auto"/>
            <w:noWrap/>
            <w:hideMark/>
          </w:tcPr>
          <w:p w14:paraId="4503E0D8"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8</w:t>
            </w:r>
          </w:p>
        </w:tc>
        <w:tc>
          <w:tcPr>
            <w:tcW w:w="1158" w:type="pct"/>
            <w:shd w:val="clear" w:color="auto" w:fill="auto"/>
            <w:noWrap/>
            <w:hideMark/>
          </w:tcPr>
          <w:p w14:paraId="40D5850D" w14:textId="77777777" w:rsidR="001E40DC" w:rsidRPr="00350989" w:rsidRDefault="001E40DC" w:rsidP="000D7F61">
            <w:pPr>
              <w:spacing w:after="0"/>
              <w:rPr>
                <w:sz w:val="20"/>
              </w:rPr>
            </w:pPr>
            <w:r w:rsidRPr="00350989">
              <w:rPr>
                <w:rFonts w:eastAsia="Times New Roman"/>
                <w:color w:val="000000"/>
                <w:sz w:val="20"/>
                <w:lang w:eastAsia="el-GR"/>
              </w:rPr>
              <w:t>Not available yet</w:t>
            </w:r>
          </w:p>
        </w:tc>
      </w:tr>
      <w:tr w:rsidR="001E40DC" w:rsidRPr="00350989" w14:paraId="093C5386" w14:textId="77777777" w:rsidTr="0069684A">
        <w:trPr>
          <w:trHeight w:val="20"/>
        </w:trPr>
        <w:tc>
          <w:tcPr>
            <w:tcW w:w="1627" w:type="pct"/>
            <w:gridSpan w:val="2"/>
            <w:shd w:val="clear" w:color="auto" w:fill="auto"/>
            <w:noWrap/>
            <w:hideMark/>
          </w:tcPr>
          <w:p w14:paraId="683C2800"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ADHD</w:t>
            </w:r>
          </w:p>
        </w:tc>
        <w:tc>
          <w:tcPr>
            <w:tcW w:w="683" w:type="pct"/>
            <w:shd w:val="clear" w:color="auto" w:fill="auto"/>
          </w:tcPr>
          <w:p w14:paraId="66D76908"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7</w:t>
            </w:r>
          </w:p>
        </w:tc>
        <w:tc>
          <w:tcPr>
            <w:tcW w:w="766" w:type="pct"/>
            <w:shd w:val="clear" w:color="auto" w:fill="auto"/>
            <w:noWrap/>
            <w:hideMark/>
          </w:tcPr>
          <w:p w14:paraId="70E53A5C"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5</w:t>
            </w:r>
          </w:p>
        </w:tc>
        <w:tc>
          <w:tcPr>
            <w:tcW w:w="766" w:type="pct"/>
            <w:shd w:val="clear" w:color="auto" w:fill="auto"/>
            <w:noWrap/>
            <w:hideMark/>
          </w:tcPr>
          <w:p w14:paraId="24FCCF30"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0</w:t>
            </w:r>
          </w:p>
        </w:tc>
        <w:tc>
          <w:tcPr>
            <w:tcW w:w="1158" w:type="pct"/>
            <w:shd w:val="clear" w:color="auto" w:fill="auto"/>
            <w:noWrap/>
            <w:hideMark/>
          </w:tcPr>
          <w:p w14:paraId="11A53058" w14:textId="77777777" w:rsidR="001E40DC" w:rsidRPr="00350989" w:rsidRDefault="001E40DC" w:rsidP="000D7F61">
            <w:pPr>
              <w:spacing w:after="0"/>
              <w:rPr>
                <w:sz w:val="20"/>
              </w:rPr>
            </w:pPr>
            <w:r w:rsidRPr="00350989">
              <w:rPr>
                <w:rFonts w:eastAsia="Times New Roman"/>
                <w:color w:val="000000"/>
                <w:sz w:val="20"/>
                <w:lang w:eastAsia="el-GR"/>
              </w:rPr>
              <w:t>Not available yet</w:t>
            </w:r>
          </w:p>
        </w:tc>
      </w:tr>
      <w:tr w:rsidR="001E40DC" w:rsidRPr="00350989" w14:paraId="43D28E88" w14:textId="77777777" w:rsidTr="0069684A">
        <w:trPr>
          <w:trHeight w:val="20"/>
        </w:trPr>
        <w:tc>
          <w:tcPr>
            <w:tcW w:w="1627" w:type="pct"/>
            <w:gridSpan w:val="2"/>
            <w:shd w:val="clear" w:color="auto" w:fill="auto"/>
            <w:noWrap/>
            <w:hideMark/>
          </w:tcPr>
          <w:p w14:paraId="6A5CEDF4"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Attention Difficulties</w:t>
            </w:r>
          </w:p>
        </w:tc>
        <w:tc>
          <w:tcPr>
            <w:tcW w:w="683" w:type="pct"/>
            <w:shd w:val="clear" w:color="auto" w:fill="auto"/>
          </w:tcPr>
          <w:p w14:paraId="0A21A547"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3</w:t>
            </w:r>
          </w:p>
        </w:tc>
        <w:tc>
          <w:tcPr>
            <w:tcW w:w="766" w:type="pct"/>
            <w:shd w:val="clear" w:color="auto" w:fill="auto"/>
            <w:noWrap/>
            <w:hideMark/>
          </w:tcPr>
          <w:p w14:paraId="47CE3D08"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2</w:t>
            </w:r>
          </w:p>
        </w:tc>
        <w:tc>
          <w:tcPr>
            <w:tcW w:w="766" w:type="pct"/>
            <w:shd w:val="clear" w:color="auto" w:fill="auto"/>
            <w:noWrap/>
            <w:hideMark/>
          </w:tcPr>
          <w:p w14:paraId="4E082423"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8</w:t>
            </w:r>
          </w:p>
        </w:tc>
        <w:tc>
          <w:tcPr>
            <w:tcW w:w="1158" w:type="pct"/>
            <w:shd w:val="clear" w:color="auto" w:fill="auto"/>
            <w:noWrap/>
            <w:hideMark/>
          </w:tcPr>
          <w:p w14:paraId="295F3074" w14:textId="77777777" w:rsidR="001E40DC" w:rsidRPr="00350989" w:rsidRDefault="001E40DC" w:rsidP="000D7F61">
            <w:pPr>
              <w:spacing w:after="0"/>
              <w:rPr>
                <w:sz w:val="20"/>
              </w:rPr>
            </w:pPr>
            <w:r w:rsidRPr="00350989">
              <w:rPr>
                <w:rFonts w:eastAsia="Times New Roman"/>
                <w:color w:val="000000"/>
                <w:sz w:val="20"/>
                <w:lang w:eastAsia="el-GR"/>
              </w:rPr>
              <w:t>Not available yet</w:t>
            </w:r>
          </w:p>
        </w:tc>
      </w:tr>
      <w:tr w:rsidR="001E40DC" w:rsidRPr="00350989" w14:paraId="61ADC70E" w14:textId="77777777" w:rsidTr="0069684A">
        <w:trPr>
          <w:trHeight w:val="20"/>
        </w:trPr>
        <w:tc>
          <w:tcPr>
            <w:tcW w:w="1627" w:type="pct"/>
            <w:gridSpan w:val="2"/>
            <w:shd w:val="clear" w:color="auto" w:fill="auto"/>
            <w:noWrap/>
            <w:hideMark/>
          </w:tcPr>
          <w:p w14:paraId="7FB2E0AD"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Hyperactivity</w:t>
            </w:r>
          </w:p>
        </w:tc>
        <w:tc>
          <w:tcPr>
            <w:tcW w:w="683" w:type="pct"/>
            <w:shd w:val="clear" w:color="auto" w:fill="auto"/>
          </w:tcPr>
          <w:p w14:paraId="0C6254EC" w14:textId="77777777" w:rsidR="001E40DC" w:rsidRPr="00350989" w:rsidRDefault="001E40DC" w:rsidP="000D7F61">
            <w:pPr>
              <w:spacing w:after="0"/>
              <w:rPr>
                <w:sz w:val="20"/>
              </w:rPr>
            </w:pPr>
            <w:r w:rsidRPr="00350989">
              <w:rPr>
                <w:rFonts w:eastAsia="Times New Roman"/>
                <w:color w:val="000000"/>
                <w:sz w:val="20"/>
                <w:lang w:eastAsia="el-GR"/>
              </w:rPr>
              <w:t>0</w:t>
            </w:r>
          </w:p>
        </w:tc>
        <w:tc>
          <w:tcPr>
            <w:tcW w:w="766" w:type="pct"/>
            <w:shd w:val="clear" w:color="auto" w:fill="auto"/>
            <w:noWrap/>
            <w:hideMark/>
          </w:tcPr>
          <w:p w14:paraId="33608FD1"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1</w:t>
            </w:r>
          </w:p>
        </w:tc>
        <w:tc>
          <w:tcPr>
            <w:tcW w:w="766" w:type="pct"/>
            <w:shd w:val="clear" w:color="auto" w:fill="auto"/>
            <w:noWrap/>
            <w:hideMark/>
          </w:tcPr>
          <w:p w14:paraId="1A7A139A"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1</w:t>
            </w:r>
          </w:p>
        </w:tc>
        <w:tc>
          <w:tcPr>
            <w:tcW w:w="1158" w:type="pct"/>
            <w:shd w:val="clear" w:color="auto" w:fill="auto"/>
            <w:noWrap/>
            <w:hideMark/>
          </w:tcPr>
          <w:p w14:paraId="584ECA25" w14:textId="77777777" w:rsidR="001E40DC" w:rsidRPr="00350989" w:rsidRDefault="001E40DC" w:rsidP="000D7F61">
            <w:pPr>
              <w:spacing w:after="0"/>
              <w:rPr>
                <w:sz w:val="20"/>
              </w:rPr>
            </w:pPr>
            <w:r w:rsidRPr="00350989">
              <w:rPr>
                <w:rFonts w:eastAsia="Times New Roman"/>
                <w:color w:val="000000"/>
                <w:sz w:val="20"/>
                <w:lang w:eastAsia="el-GR"/>
              </w:rPr>
              <w:t>Not available yet</w:t>
            </w:r>
          </w:p>
        </w:tc>
      </w:tr>
      <w:tr w:rsidR="001E40DC" w:rsidRPr="00350989" w14:paraId="5EDFBDD0" w14:textId="77777777" w:rsidTr="0069684A">
        <w:trPr>
          <w:trHeight w:val="20"/>
        </w:trPr>
        <w:tc>
          <w:tcPr>
            <w:tcW w:w="1627" w:type="pct"/>
            <w:gridSpan w:val="2"/>
            <w:shd w:val="clear" w:color="auto" w:fill="auto"/>
            <w:noWrap/>
            <w:hideMark/>
          </w:tcPr>
          <w:p w14:paraId="62BA4737"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Tetraplegic</w:t>
            </w:r>
          </w:p>
        </w:tc>
        <w:tc>
          <w:tcPr>
            <w:tcW w:w="683" w:type="pct"/>
            <w:shd w:val="clear" w:color="auto" w:fill="auto"/>
          </w:tcPr>
          <w:p w14:paraId="1F4AEEBC" w14:textId="77777777" w:rsidR="001E40DC" w:rsidRPr="00350989" w:rsidRDefault="001E40DC" w:rsidP="000D7F61">
            <w:pPr>
              <w:spacing w:after="0"/>
              <w:rPr>
                <w:sz w:val="20"/>
              </w:rPr>
            </w:pPr>
            <w:r w:rsidRPr="00350989">
              <w:rPr>
                <w:rFonts w:eastAsia="Times New Roman"/>
                <w:color w:val="000000"/>
                <w:sz w:val="20"/>
                <w:lang w:eastAsia="el-GR"/>
              </w:rPr>
              <w:t>0</w:t>
            </w:r>
          </w:p>
        </w:tc>
        <w:tc>
          <w:tcPr>
            <w:tcW w:w="766" w:type="pct"/>
            <w:shd w:val="clear" w:color="auto" w:fill="auto"/>
            <w:noWrap/>
            <w:hideMark/>
          </w:tcPr>
          <w:p w14:paraId="18B56F67" w14:textId="77777777" w:rsidR="001E40DC" w:rsidRPr="00350989" w:rsidRDefault="001E40DC" w:rsidP="000D7F61">
            <w:pPr>
              <w:spacing w:after="0"/>
              <w:rPr>
                <w:sz w:val="20"/>
              </w:rPr>
            </w:pPr>
            <w:r w:rsidRPr="00350989">
              <w:rPr>
                <w:rFonts w:eastAsia="Times New Roman"/>
                <w:color w:val="000000"/>
                <w:sz w:val="20"/>
                <w:lang w:eastAsia="el-GR"/>
              </w:rPr>
              <w:t>0</w:t>
            </w:r>
          </w:p>
        </w:tc>
        <w:tc>
          <w:tcPr>
            <w:tcW w:w="766" w:type="pct"/>
            <w:shd w:val="clear" w:color="auto" w:fill="auto"/>
            <w:noWrap/>
            <w:hideMark/>
          </w:tcPr>
          <w:p w14:paraId="037F7260"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3</w:t>
            </w:r>
          </w:p>
        </w:tc>
        <w:tc>
          <w:tcPr>
            <w:tcW w:w="1158" w:type="pct"/>
            <w:shd w:val="clear" w:color="auto" w:fill="auto"/>
            <w:noWrap/>
            <w:hideMark/>
          </w:tcPr>
          <w:p w14:paraId="4B5389F1"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1</w:t>
            </w:r>
          </w:p>
        </w:tc>
      </w:tr>
      <w:tr w:rsidR="001E40DC" w:rsidRPr="00350989" w14:paraId="6B3BF0F2" w14:textId="77777777" w:rsidTr="0069684A">
        <w:trPr>
          <w:trHeight w:val="20"/>
        </w:trPr>
        <w:tc>
          <w:tcPr>
            <w:tcW w:w="1627" w:type="pct"/>
            <w:gridSpan w:val="2"/>
            <w:shd w:val="clear" w:color="auto" w:fill="auto"/>
            <w:noWrap/>
            <w:hideMark/>
          </w:tcPr>
          <w:p w14:paraId="4881B78B"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Thoracic Outlet Syndrome</w:t>
            </w:r>
          </w:p>
        </w:tc>
        <w:tc>
          <w:tcPr>
            <w:tcW w:w="683" w:type="pct"/>
            <w:shd w:val="clear" w:color="auto" w:fill="auto"/>
          </w:tcPr>
          <w:p w14:paraId="336B2750" w14:textId="77777777" w:rsidR="001E40DC" w:rsidRPr="00350989" w:rsidRDefault="001E40DC" w:rsidP="000D7F61">
            <w:pPr>
              <w:spacing w:after="0"/>
              <w:rPr>
                <w:sz w:val="20"/>
              </w:rPr>
            </w:pPr>
            <w:r w:rsidRPr="00350989">
              <w:rPr>
                <w:rFonts w:eastAsia="Times New Roman"/>
                <w:color w:val="000000"/>
                <w:sz w:val="20"/>
                <w:lang w:eastAsia="el-GR"/>
              </w:rPr>
              <w:t>0</w:t>
            </w:r>
          </w:p>
        </w:tc>
        <w:tc>
          <w:tcPr>
            <w:tcW w:w="766" w:type="pct"/>
            <w:shd w:val="clear" w:color="auto" w:fill="auto"/>
            <w:noWrap/>
            <w:hideMark/>
          </w:tcPr>
          <w:p w14:paraId="30CFFD68" w14:textId="77777777" w:rsidR="001E40DC" w:rsidRPr="00350989" w:rsidRDefault="001E40DC" w:rsidP="000D7F61">
            <w:pPr>
              <w:spacing w:after="0"/>
              <w:rPr>
                <w:sz w:val="20"/>
              </w:rPr>
            </w:pPr>
            <w:r w:rsidRPr="00350989">
              <w:rPr>
                <w:rFonts w:eastAsia="Times New Roman"/>
                <w:color w:val="000000"/>
                <w:sz w:val="20"/>
                <w:lang w:eastAsia="el-GR"/>
              </w:rPr>
              <w:t>0</w:t>
            </w:r>
          </w:p>
        </w:tc>
        <w:tc>
          <w:tcPr>
            <w:tcW w:w="766" w:type="pct"/>
            <w:shd w:val="clear" w:color="auto" w:fill="auto"/>
            <w:noWrap/>
            <w:hideMark/>
          </w:tcPr>
          <w:p w14:paraId="3639545A"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0</w:t>
            </w:r>
          </w:p>
        </w:tc>
        <w:tc>
          <w:tcPr>
            <w:tcW w:w="1158" w:type="pct"/>
            <w:shd w:val="clear" w:color="auto" w:fill="auto"/>
            <w:noWrap/>
            <w:hideMark/>
          </w:tcPr>
          <w:p w14:paraId="5065C4CE"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1</w:t>
            </w:r>
          </w:p>
        </w:tc>
      </w:tr>
      <w:tr w:rsidR="001E40DC" w:rsidRPr="00350989" w14:paraId="1866A585" w14:textId="77777777" w:rsidTr="0069684A">
        <w:trPr>
          <w:trHeight w:val="20"/>
        </w:trPr>
        <w:tc>
          <w:tcPr>
            <w:tcW w:w="1627" w:type="pct"/>
            <w:gridSpan w:val="2"/>
            <w:shd w:val="clear" w:color="auto" w:fill="auto"/>
            <w:noWrap/>
            <w:hideMark/>
          </w:tcPr>
          <w:p w14:paraId="75975325"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Allergic to insects</w:t>
            </w:r>
          </w:p>
        </w:tc>
        <w:tc>
          <w:tcPr>
            <w:tcW w:w="683" w:type="pct"/>
            <w:shd w:val="clear" w:color="auto" w:fill="auto"/>
          </w:tcPr>
          <w:p w14:paraId="495DAD8C" w14:textId="77777777" w:rsidR="001E40DC" w:rsidRPr="00350989" w:rsidRDefault="001E40DC" w:rsidP="000D7F61">
            <w:pPr>
              <w:spacing w:after="0"/>
              <w:rPr>
                <w:sz w:val="20"/>
              </w:rPr>
            </w:pPr>
            <w:r w:rsidRPr="00350989">
              <w:rPr>
                <w:rFonts w:eastAsia="Times New Roman"/>
                <w:color w:val="000000"/>
                <w:sz w:val="20"/>
                <w:lang w:eastAsia="el-GR"/>
              </w:rPr>
              <w:t>0</w:t>
            </w:r>
          </w:p>
        </w:tc>
        <w:tc>
          <w:tcPr>
            <w:tcW w:w="766" w:type="pct"/>
            <w:shd w:val="clear" w:color="auto" w:fill="auto"/>
            <w:noWrap/>
            <w:hideMark/>
          </w:tcPr>
          <w:p w14:paraId="29D7BE7C" w14:textId="77777777" w:rsidR="001E40DC" w:rsidRPr="00350989" w:rsidRDefault="001E40DC" w:rsidP="000D7F61">
            <w:pPr>
              <w:spacing w:after="0"/>
              <w:rPr>
                <w:sz w:val="20"/>
              </w:rPr>
            </w:pPr>
            <w:r w:rsidRPr="00350989">
              <w:rPr>
                <w:rFonts w:eastAsia="Times New Roman"/>
                <w:color w:val="000000"/>
                <w:sz w:val="20"/>
                <w:lang w:eastAsia="el-GR"/>
              </w:rPr>
              <w:t>0</w:t>
            </w:r>
          </w:p>
        </w:tc>
        <w:tc>
          <w:tcPr>
            <w:tcW w:w="766" w:type="pct"/>
            <w:shd w:val="clear" w:color="auto" w:fill="auto"/>
            <w:noWrap/>
            <w:hideMark/>
          </w:tcPr>
          <w:p w14:paraId="54B360BB"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1</w:t>
            </w:r>
          </w:p>
        </w:tc>
        <w:tc>
          <w:tcPr>
            <w:tcW w:w="1158" w:type="pct"/>
            <w:shd w:val="clear" w:color="auto" w:fill="auto"/>
            <w:noWrap/>
            <w:hideMark/>
          </w:tcPr>
          <w:p w14:paraId="0092BCEE"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1</w:t>
            </w:r>
          </w:p>
        </w:tc>
      </w:tr>
      <w:tr w:rsidR="001E40DC" w:rsidRPr="00350989" w14:paraId="5468AFA8" w14:textId="77777777" w:rsidTr="0069684A">
        <w:trPr>
          <w:trHeight w:val="20"/>
        </w:trPr>
        <w:tc>
          <w:tcPr>
            <w:tcW w:w="1627" w:type="pct"/>
            <w:gridSpan w:val="2"/>
            <w:shd w:val="clear" w:color="auto" w:fill="auto"/>
            <w:noWrap/>
            <w:hideMark/>
          </w:tcPr>
          <w:p w14:paraId="34E8957E" w14:textId="77777777" w:rsidR="001E40DC" w:rsidRPr="00350989" w:rsidRDefault="001E40DC" w:rsidP="000D7F61">
            <w:pPr>
              <w:spacing w:after="0"/>
              <w:rPr>
                <w:rFonts w:eastAsia="Times New Roman"/>
                <w:color w:val="000000"/>
                <w:sz w:val="20"/>
                <w:lang w:eastAsia="el-GR"/>
              </w:rPr>
            </w:pPr>
            <w:proofErr w:type="spellStart"/>
            <w:r w:rsidRPr="00350989">
              <w:rPr>
                <w:rFonts w:eastAsia="Times New Roman"/>
                <w:color w:val="000000"/>
                <w:sz w:val="20"/>
                <w:lang w:eastAsia="el-GR"/>
              </w:rPr>
              <w:t>Arthrogryphosis</w:t>
            </w:r>
            <w:proofErr w:type="spellEnd"/>
          </w:p>
        </w:tc>
        <w:tc>
          <w:tcPr>
            <w:tcW w:w="683" w:type="pct"/>
            <w:shd w:val="clear" w:color="auto" w:fill="auto"/>
          </w:tcPr>
          <w:p w14:paraId="59BBCE43" w14:textId="77777777" w:rsidR="001E40DC" w:rsidRPr="00350989" w:rsidRDefault="001E40DC" w:rsidP="000D7F61">
            <w:pPr>
              <w:spacing w:after="0"/>
              <w:rPr>
                <w:sz w:val="20"/>
              </w:rPr>
            </w:pPr>
            <w:r w:rsidRPr="00350989">
              <w:rPr>
                <w:rFonts w:eastAsia="Times New Roman"/>
                <w:color w:val="000000"/>
                <w:sz w:val="20"/>
                <w:lang w:eastAsia="el-GR"/>
              </w:rPr>
              <w:t>0</w:t>
            </w:r>
          </w:p>
        </w:tc>
        <w:tc>
          <w:tcPr>
            <w:tcW w:w="766" w:type="pct"/>
            <w:shd w:val="clear" w:color="auto" w:fill="auto"/>
            <w:noWrap/>
            <w:hideMark/>
          </w:tcPr>
          <w:p w14:paraId="14E4CD7A" w14:textId="77777777" w:rsidR="001E40DC" w:rsidRPr="00350989" w:rsidRDefault="001E40DC" w:rsidP="000D7F61">
            <w:pPr>
              <w:spacing w:after="0"/>
              <w:rPr>
                <w:sz w:val="20"/>
              </w:rPr>
            </w:pPr>
            <w:r w:rsidRPr="00350989">
              <w:rPr>
                <w:rFonts w:eastAsia="Times New Roman"/>
                <w:color w:val="000000"/>
                <w:sz w:val="20"/>
                <w:lang w:eastAsia="el-GR"/>
              </w:rPr>
              <w:t>0</w:t>
            </w:r>
          </w:p>
        </w:tc>
        <w:tc>
          <w:tcPr>
            <w:tcW w:w="766" w:type="pct"/>
            <w:shd w:val="clear" w:color="auto" w:fill="auto"/>
            <w:noWrap/>
            <w:hideMark/>
          </w:tcPr>
          <w:p w14:paraId="28AB771F"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0</w:t>
            </w:r>
          </w:p>
        </w:tc>
        <w:tc>
          <w:tcPr>
            <w:tcW w:w="1158" w:type="pct"/>
            <w:shd w:val="clear" w:color="auto" w:fill="auto"/>
            <w:noWrap/>
            <w:hideMark/>
          </w:tcPr>
          <w:p w14:paraId="5505A3C5"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1</w:t>
            </w:r>
          </w:p>
        </w:tc>
      </w:tr>
      <w:tr w:rsidR="001E40DC" w:rsidRPr="00350989" w14:paraId="6E972C74" w14:textId="77777777" w:rsidTr="0069684A">
        <w:trPr>
          <w:trHeight w:val="20"/>
        </w:trPr>
        <w:tc>
          <w:tcPr>
            <w:tcW w:w="1627" w:type="pct"/>
            <w:gridSpan w:val="2"/>
            <w:shd w:val="clear" w:color="auto" w:fill="auto"/>
            <w:noWrap/>
            <w:hideMark/>
          </w:tcPr>
          <w:p w14:paraId="4F2799DF"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Congenital Heart Disease</w:t>
            </w:r>
          </w:p>
        </w:tc>
        <w:tc>
          <w:tcPr>
            <w:tcW w:w="683" w:type="pct"/>
            <w:shd w:val="clear" w:color="auto" w:fill="auto"/>
          </w:tcPr>
          <w:p w14:paraId="3D46D1AF" w14:textId="77777777" w:rsidR="001E40DC" w:rsidRPr="00350989" w:rsidRDefault="001E40DC" w:rsidP="000D7F61">
            <w:pPr>
              <w:spacing w:after="0"/>
              <w:rPr>
                <w:sz w:val="20"/>
              </w:rPr>
            </w:pPr>
            <w:r w:rsidRPr="00350989">
              <w:rPr>
                <w:rFonts w:eastAsia="Times New Roman"/>
                <w:color w:val="000000"/>
                <w:sz w:val="20"/>
                <w:lang w:eastAsia="el-GR"/>
              </w:rPr>
              <w:t>0</w:t>
            </w:r>
          </w:p>
        </w:tc>
        <w:tc>
          <w:tcPr>
            <w:tcW w:w="766" w:type="pct"/>
            <w:shd w:val="clear" w:color="auto" w:fill="auto"/>
            <w:noWrap/>
            <w:hideMark/>
          </w:tcPr>
          <w:p w14:paraId="60E6FFF6" w14:textId="77777777" w:rsidR="001E40DC" w:rsidRPr="00350989" w:rsidRDefault="001E40DC" w:rsidP="000D7F61">
            <w:pPr>
              <w:spacing w:after="0"/>
              <w:rPr>
                <w:sz w:val="20"/>
              </w:rPr>
            </w:pPr>
            <w:r w:rsidRPr="00350989">
              <w:rPr>
                <w:rFonts w:eastAsia="Times New Roman"/>
                <w:color w:val="000000"/>
                <w:sz w:val="20"/>
                <w:lang w:eastAsia="el-GR"/>
              </w:rPr>
              <w:t>0</w:t>
            </w:r>
          </w:p>
        </w:tc>
        <w:tc>
          <w:tcPr>
            <w:tcW w:w="766" w:type="pct"/>
            <w:shd w:val="clear" w:color="auto" w:fill="auto"/>
            <w:noWrap/>
            <w:hideMark/>
          </w:tcPr>
          <w:p w14:paraId="18F674F5"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1</w:t>
            </w:r>
          </w:p>
        </w:tc>
        <w:tc>
          <w:tcPr>
            <w:tcW w:w="1158" w:type="pct"/>
            <w:shd w:val="clear" w:color="auto" w:fill="auto"/>
            <w:noWrap/>
            <w:hideMark/>
          </w:tcPr>
          <w:p w14:paraId="41F1A6C2"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0</w:t>
            </w:r>
          </w:p>
        </w:tc>
      </w:tr>
      <w:tr w:rsidR="001E40DC" w:rsidRPr="00350989" w14:paraId="44B0851A" w14:textId="77777777" w:rsidTr="0069684A">
        <w:trPr>
          <w:trHeight w:val="20"/>
        </w:trPr>
        <w:tc>
          <w:tcPr>
            <w:tcW w:w="1627" w:type="pct"/>
            <w:gridSpan w:val="2"/>
            <w:shd w:val="clear" w:color="auto" w:fill="auto"/>
            <w:noWrap/>
            <w:hideMark/>
          </w:tcPr>
          <w:p w14:paraId="38913F06"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Developmental Delay</w:t>
            </w:r>
          </w:p>
        </w:tc>
        <w:tc>
          <w:tcPr>
            <w:tcW w:w="683" w:type="pct"/>
            <w:shd w:val="clear" w:color="auto" w:fill="auto"/>
          </w:tcPr>
          <w:p w14:paraId="372B9DC6" w14:textId="77777777" w:rsidR="001E40DC" w:rsidRPr="00350989" w:rsidRDefault="001E40DC" w:rsidP="000D7F61">
            <w:pPr>
              <w:spacing w:after="0"/>
              <w:rPr>
                <w:sz w:val="20"/>
              </w:rPr>
            </w:pPr>
            <w:r w:rsidRPr="00350989">
              <w:rPr>
                <w:rFonts w:eastAsia="Times New Roman"/>
                <w:color w:val="000000"/>
                <w:sz w:val="20"/>
                <w:lang w:eastAsia="el-GR"/>
              </w:rPr>
              <w:t>0</w:t>
            </w:r>
          </w:p>
        </w:tc>
        <w:tc>
          <w:tcPr>
            <w:tcW w:w="766" w:type="pct"/>
            <w:shd w:val="clear" w:color="auto" w:fill="auto"/>
            <w:noWrap/>
            <w:hideMark/>
          </w:tcPr>
          <w:p w14:paraId="1F50918B" w14:textId="77777777" w:rsidR="001E40DC" w:rsidRPr="00350989" w:rsidRDefault="001E40DC" w:rsidP="000D7F61">
            <w:pPr>
              <w:spacing w:after="0"/>
              <w:rPr>
                <w:sz w:val="20"/>
              </w:rPr>
            </w:pPr>
            <w:r w:rsidRPr="00350989">
              <w:rPr>
                <w:rFonts w:eastAsia="Times New Roman"/>
                <w:color w:val="000000"/>
                <w:sz w:val="20"/>
                <w:lang w:eastAsia="el-GR"/>
              </w:rPr>
              <w:t>0</w:t>
            </w:r>
          </w:p>
        </w:tc>
        <w:tc>
          <w:tcPr>
            <w:tcW w:w="766" w:type="pct"/>
            <w:shd w:val="clear" w:color="auto" w:fill="auto"/>
            <w:noWrap/>
            <w:hideMark/>
          </w:tcPr>
          <w:p w14:paraId="70EC4873"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1</w:t>
            </w:r>
          </w:p>
        </w:tc>
        <w:tc>
          <w:tcPr>
            <w:tcW w:w="1158" w:type="pct"/>
            <w:shd w:val="clear" w:color="auto" w:fill="auto"/>
            <w:noWrap/>
            <w:hideMark/>
          </w:tcPr>
          <w:p w14:paraId="33A46481"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1</w:t>
            </w:r>
          </w:p>
        </w:tc>
      </w:tr>
      <w:tr w:rsidR="001E40DC" w:rsidRPr="00350989" w14:paraId="055E10C5" w14:textId="77777777" w:rsidTr="0069684A">
        <w:trPr>
          <w:trHeight w:val="20"/>
        </w:trPr>
        <w:tc>
          <w:tcPr>
            <w:tcW w:w="1627" w:type="pct"/>
            <w:gridSpan w:val="2"/>
            <w:shd w:val="clear" w:color="auto" w:fill="auto"/>
            <w:noWrap/>
            <w:hideMark/>
          </w:tcPr>
          <w:p w14:paraId="42EF00ED"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Depression</w:t>
            </w:r>
          </w:p>
        </w:tc>
        <w:tc>
          <w:tcPr>
            <w:tcW w:w="683" w:type="pct"/>
            <w:shd w:val="clear" w:color="auto" w:fill="auto"/>
          </w:tcPr>
          <w:p w14:paraId="66034CB4" w14:textId="77777777" w:rsidR="001E40DC" w:rsidRPr="00350989" w:rsidRDefault="001E40DC" w:rsidP="000D7F61">
            <w:pPr>
              <w:spacing w:after="0"/>
              <w:rPr>
                <w:sz w:val="20"/>
              </w:rPr>
            </w:pPr>
            <w:r w:rsidRPr="00350989">
              <w:rPr>
                <w:rFonts w:eastAsia="Times New Roman"/>
                <w:color w:val="000000"/>
                <w:sz w:val="20"/>
                <w:lang w:eastAsia="el-GR"/>
              </w:rPr>
              <w:t>0</w:t>
            </w:r>
          </w:p>
        </w:tc>
        <w:tc>
          <w:tcPr>
            <w:tcW w:w="766" w:type="pct"/>
            <w:shd w:val="clear" w:color="auto" w:fill="auto"/>
            <w:noWrap/>
            <w:hideMark/>
          </w:tcPr>
          <w:p w14:paraId="27A26F9B" w14:textId="77777777" w:rsidR="001E40DC" w:rsidRPr="00350989" w:rsidRDefault="001E40DC" w:rsidP="000D7F61">
            <w:pPr>
              <w:spacing w:after="0"/>
              <w:rPr>
                <w:sz w:val="20"/>
              </w:rPr>
            </w:pPr>
            <w:r w:rsidRPr="00350989">
              <w:rPr>
                <w:rFonts w:eastAsia="Times New Roman"/>
                <w:color w:val="000000"/>
                <w:sz w:val="20"/>
                <w:lang w:eastAsia="el-GR"/>
              </w:rPr>
              <w:t>0</w:t>
            </w:r>
          </w:p>
        </w:tc>
        <w:tc>
          <w:tcPr>
            <w:tcW w:w="766" w:type="pct"/>
            <w:shd w:val="clear" w:color="auto" w:fill="auto"/>
            <w:noWrap/>
            <w:hideMark/>
          </w:tcPr>
          <w:p w14:paraId="1DA05B76"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1</w:t>
            </w:r>
          </w:p>
        </w:tc>
        <w:tc>
          <w:tcPr>
            <w:tcW w:w="1158" w:type="pct"/>
            <w:shd w:val="clear" w:color="auto" w:fill="auto"/>
            <w:noWrap/>
            <w:hideMark/>
          </w:tcPr>
          <w:p w14:paraId="2BE182A7"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1</w:t>
            </w:r>
          </w:p>
        </w:tc>
      </w:tr>
      <w:tr w:rsidR="001E40DC" w:rsidRPr="00350989" w14:paraId="048DAADE" w14:textId="77777777" w:rsidTr="0069684A">
        <w:trPr>
          <w:trHeight w:val="20"/>
        </w:trPr>
        <w:tc>
          <w:tcPr>
            <w:tcW w:w="1627" w:type="pct"/>
            <w:gridSpan w:val="2"/>
            <w:shd w:val="clear" w:color="auto" w:fill="auto"/>
            <w:noWrap/>
            <w:hideMark/>
          </w:tcPr>
          <w:p w14:paraId="04B60FB7"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Juvenile Arthritis</w:t>
            </w:r>
          </w:p>
        </w:tc>
        <w:tc>
          <w:tcPr>
            <w:tcW w:w="683" w:type="pct"/>
            <w:shd w:val="clear" w:color="auto" w:fill="auto"/>
          </w:tcPr>
          <w:p w14:paraId="57859128" w14:textId="77777777" w:rsidR="001E40DC" w:rsidRPr="00350989" w:rsidRDefault="001E40DC" w:rsidP="000D7F61">
            <w:pPr>
              <w:spacing w:after="0"/>
              <w:rPr>
                <w:sz w:val="20"/>
              </w:rPr>
            </w:pPr>
            <w:r w:rsidRPr="00350989">
              <w:rPr>
                <w:rFonts w:eastAsia="Times New Roman"/>
                <w:color w:val="000000"/>
                <w:sz w:val="20"/>
                <w:lang w:eastAsia="el-GR"/>
              </w:rPr>
              <w:t>0</w:t>
            </w:r>
          </w:p>
        </w:tc>
        <w:tc>
          <w:tcPr>
            <w:tcW w:w="766" w:type="pct"/>
            <w:shd w:val="clear" w:color="auto" w:fill="auto"/>
            <w:noWrap/>
            <w:hideMark/>
          </w:tcPr>
          <w:p w14:paraId="3A1E95C8" w14:textId="77777777" w:rsidR="001E40DC" w:rsidRPr="00350989" w:rsidRDefault="001E40DC" w:rsidP="000D7F61">
            <w:pPr>
              <w:spacing w:after="0"/>
              <w:rPr>
                <w:sz w:val="20"/>
              </w:rPr>
            </w:pPr>
            <w:r w:rsidRPr="00350989">
              <w:rPr>
                <w:rFonts w:eastAsia="Times New Roman"/>
                <w:color w:val="000000"/>
                <w:sz w:val="20"/>
                <w:lang w:eastAsia="el-GR"/>
              </w:rPr>
              <w:t>0</w:t>
            </w:r>
          </w:p>
        </w:tc>
        <w:tc>
          <w:tcPr>
            <w:tcW w:w="766" w:type="pct"/>
            <w:shd w:val="clear" w:color="auto" w:fill="auto"/>
            <w:noWrap/>
            <w:hideMark/>
          </w:tcPr>
          <w:p w14:paraId="4264E2DD"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0</w:t>
            </w:r>
          </w:p>
        </w:tc>
        <w:tc>
          <w:tcPr>
            <w:tcW w:w="1158" w:type="pct"/>
            <w:shd w:val="clear" w:color="auto" w:fill="auto"/>
            <w:noWrap/>
            <w:hideMark/>
          </w:tcPr>
          <w:p w14:paraId="335FFD85"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1</w:t>
            </w:r>
          </w:p>
        </w:tc>
      </w:tr>
      <w:tr w:rsidR="001E40DC" w:rsidRPr="00350989" w14:paraId="4495A80C" w14:textId="77777777" w:rsidTr="0069684A">
        <w:trPr>
          <w:trHeight w:val="20"/>
        </w:trPr>
        <w:tc>
          <w:tcPr>
            <w:tcW w:w="1627" w:type="pct"/>
            <w:gridSpan w:val="2"/>
            <w:shd w:val="clear" w:color="auto" w:fill="auto"/>
            <w:noWrap/>
            <w:hideMark/>
          </w:tcPr>
          <w:p w14:paraId="49E0A811"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Hand Surgery</w:t>
            </w:r>
          </w:p>
        </w:tc>
        <w:tc>
          <w:tcPr>
            <w:tcW w:w="683" w:type="pct"/>
            <w:shd w:val="clear" w:color="auto" w:fill="auto"/>
          </w:tcPr>
          <w:p w14:paraId="4A9C6E77" w14:textId="77777777" w:rsidR="001E40DC" w:rsidRPr="00350989" w:rsidRDefault="001E40DC" w:rsidP="000D7F61">
            <w:pPr>
              <w:spacing w:after="0"/>
              <w:rPr>
                <w:sz w:val="20"/>
              </w:rPr>
            </w:pPr>
            <w:r w:rsidRPr="00350989">
              <w:rPr>
                <w:rFonts w:eastAsia="Times New Roman"/>
                <w:color w:val="000000"/>
                <w:sz w:val="20"/>
                <w:lang w:eastAsia="el-GR"/>
              </w:rPr>
              <w:t>0</w:t>
            </w:r>
          </w:p>
        </w:tc>
        <w:tc>
          <w:tcPr>
            <w:tcW w:w="766" w:type="pct"/>
            <w:shd w:val="clear" w:color="auto" w:fill="auto"/>
            <w:noWrap/>
            <w:hideMark/>
          </w:tcPr>
          <w:p w14:paraId="6E46A059" w14:textId="77777777" w:rsidR="001E40DC" w:rsidRPr="00350989" w:rsidRDefault="001E40DC" w:rsidP="000D7F61">
            <w:pPr>
              <w:spacing w:after="0"/>
              <w:rPr>
                <w:sz w:val="20"/>
              </w:rPr>
            </w:pPr>
            <w:r w:rsidRPr="00350989">
              <w:rPr>
                <w:rFonts w:eastAsia="Times New Roman"/>
                <w:color w:val="000000"/>
                <w:sz w:val="20"/>
                <w:lang w:eastAsia="el-GR"/>
              </w:rPr>
              <w:t>0</w:t>
            </w:r>
          </w:p>
        </w:tc>
        <w:tc>
          <w:tcPr>
            <w:tcW w:w="766" w:type="pct"/>
            <w:shd w:val="clear" w:color="auto" w:fill="auto"/>
            <w:noWrap/>
            <w:hideMark/>
          </w:tcPr>
          <w:p w14:paraId="26825D5C"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1</w:t>
            </w:r>
          </w:p>
        </w:tc>
        <w:tc>
          <w:tcPr>
            <w:tcW w:w="1158" w:type="pct"/>
            <w:shd w:val="clear" w:color="auto" w:fill="auto"/>
            <w:noWrap/>
            <w:hideMark/>
          </w:tcPr>
          <w:p w14:paraId="724462F8"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0</w:t>
            </w:r>
          </w:p>
        </w:tc>
      </w:tr>
      <w:tr w:rsidR="001E40DC" w:rsidRPr="00350989" w14:paraId="68AA7F53" w14:textId="77777777" w:rsidTr="0069684A">
        <w:trPr>
          <w:trHeight w:val="20"/>
        </w:trPr>
        <w:tc>
          <w:tcPr>
            <w:tcW w:w="1627" w:type="pct"/>
            <w:gridSpan w:val="2"/>
            <w:shd w:val="clear" w:color="auto" w:fill="auto"/>
            <w:noWrap/>
            <w:hideMark/>
          </w:tcPr>
          <w:p w14:paraId="3C5CBA30"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Heart Problem</w:t>
            </w:r>
          </w:p>
        </w:tc>
        <w:tc>
          <w:tcPr>
            <w:tcW w:w="683" w:type="pct"/>
            <w:shd w:val="clear" w:color="auto" w:fill="auto"/>
          </w:tcPr>
          <w:p w14:paraId="4C5F9782" w14:textId="77777777" w:rsidR="001E40DC" w:rsidRPr="00350989" w:rsidRDefault="001E40DC" w:rsidP="000D7F61">
            <w:pPr>
              <w:spacing w:after="0"/>
              <w:rPr>
                <w:sz w:val="20"/>
              </w:rPr>
            </w:pPr>
            <w:r w:rsidRPr="00350989">
              <w:rPr>
                <w:rFonts w:eastAsia="Times New Roman"/>
                <w:color w:val="000000"/>
                <w:sz w:val="20"/>
                <w:lang w:eastAsia="el-GR"/>
              </w:rPr>
              <w:t>0</w:t>
            </w:r>
          </w:p>
        </w:tc>
        <w:tc>
          <w:tcPr>
            <w:tcW w:w="766" w:type="pct"/>
            <w:shd w:val="clear" w:color="auto" w:fill="auto"/>
            <w:noWrap/>
            <w:hideMark/>
          </w:tcPr>
          <w:p w14:paraId="0A44286D" w14:textId="77777777" w:rsidR="001E40DC" w:rsidRPr="00350989" w:rsidRDefault="001E40DC" w:rsidP="000D7F61">
            <w:pPr>
              <w:spacing w:after="0"/>
              <w:rPr>
                <w:sz w:val="20"/>
              </w:rPr>
            </w:pPr>
            <w:r w:rsidRPr="00350989">
              <w:rPr>
                <w:rFonts w:eastAsia="Times New Roman"/>
                <w:color w:val="000000"/>
                <w:sz w:val="20"/>
                <w:lang w:eastAsia="el-GR"/>
              </w:rPr>
              <w:t>0</w:t>
            </w:r>
          </w:p>
        </w:tc>
        <w:tc>
          <w:tcPr>
            <w:tcW w:w="766" w:type="pct"/>
            <w:shd w:val="clear" w:color="auto" w:fill="auto"/>
            <w:noWrap/>
            <w:hideMark/>
          </w:tcPr>
          <w:p w14:paraId="73CF9B09"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1</w:t>
            </w:r>
          </w:p>
        </w:tc>
        <w:tc>
          <w:tcPr>
            <w:tcW w:w="1158" w:type="pct"/>
            <w:shd w:val="clear" w:color="auto" w:fill="auto"/>
            <w:noWrap/>
            <w:hideMark/>
          </w:tcPr>
          <w:p w14:paraId="7E7BA65F"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1</w:t>
            </w:r>
          </w:p>
        </w:tc>
      </w:tr>
      <w:tr w:rsidR="001E40DC" w:rsidRPr="00350989" w14:paraId="14F4CFB2" w14:textId="77777777" w:rsidTr="0069684A">
        <w:trPr>
          <w:trHeight w:val="20"/>
        </w:trPr>
        <w:tc>
          <w:tcPr>
            <w:tcW w:w="1627" w:type="pct"/>
            <w:gridSpan w:val="2"/>
            <w:shd w:val="clear" w:color="auto" w:fill="auto"/>
            <w:noWrap/>
            <w:hideMark/>
          </w:tcPr>
          <w:p w14:paraId="6FE373E2"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 xml:space="preserve">Hodgkin’s </w:t>
            </w:r>
            <w:proofErr w:type="spellStart"/>
            <w:r w:rsidRPr="00350989">
              <w:rPr>
                <w:rFonts w:eastAsia="Times New Roman"/>
                <w:color w:val="000000"/>
                <w:sz w:val="20"/>
                <w:lang w:eastAsia="el-GR"/>
              </w:rPr>
              <w:t>Lyphoma</w:t>
            </w:r>
            <w:proofErr w:type="spellEnd"/>
          </w:p>
        </w:tc>
        <w:tc>
          <w:tcPr>
            <w:tcW w:w="683" w:type="pct"/>
            <w:shd w:val="clear" w:color="auto" w:fill="auto"/>
          </w:tcPr>
          <w:p w14:paraId="03E1920D" w14:textId="77777777" w:rsidR="001E40DC" w:rsidRPr="00350989" w:rsidRDefault="001E40DC" w:rsidP="000D7F61">
            <w:pPr>
              <w:spacing w:after="0"/>
              <w:rPr>
                <w:sz w:val="20"/>
              </w:rPr>
            </w:pPr>
            <w:r w:rsidRPr="00350989">
              <w:rPr>
                <w:rFonts w:eastAsia="Times New Roman"/>
                <w:color w:val="000000"/>
                <w:sz w:val="20"/>
                <w:lang w:eastAsia="el-GR"/>
              </w:rPr>
              <w:t>0</w:t>
            </w:r>
          </w:p>
        </w:tc>
        <w:tc>
          <w:tcPr>
            <w:tcW w:w="766" w:type="pct"/>
            <w:shd w:val="clear" w:color="auto" w:fill="auto"/>
            <w:noWrap/>
            <w:hideMark/>
          </w:tcPr>
          <w:p w14:paraId="7FACB464" w14:textId="77777777" w:rsidR="001E40DC" w:rsidRPr="00350989" w:rsidRDefault="001E40DC" w:rsidP="000D7F61">
            <w:pPr>
              <w:spacing w:after="0"/>
              <w:rPr>
                <w:sz w:val="20"/>
              </w:rPr>
            </w:pPr>
            <w:r w:rsidRPr="00350989">
              <w:rPr>
                <w:rFonts w:eastAsia="Times New Roman"/>
                <w:color w:val="000000"/>
                <w:sz w:val="20"/>
                <w:lang w:eastAsia="el-GR"/>
              </w:rPr>
              <w:t>0</w:t>
            </w:r>
          </w:p>
        </w:tc>
        <w:tc>
          <w:tcPr>
            <w:tcW w:w="766" w:type="pct"/>
            <w:shd w:val="clear" w:color="auto" w:fill="auto"/>
            <w:noWrap/>
            <w:hideMark/>
          </w:tcPr>
          <w:p w14:paraId="1F915EF6"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1</w:t>
            </w:r>
          </w:p>
        </w:tc>
        <w:tc>
          <w:tcPr>
            <w:tcW w:w="1158" w:type="pct"/>
            <w:shd w:val="clear" w:color="auto" w:fill="auto"/>
            <w:noWrap/>
            <w:hideMark/>
          </w:tcPr>
          <w:p w14:paraId="26F4B5F2"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1</w:t>
            </w:r>
          </w:p>
        </w:tc>
      </w:tr>
      <w:tr w:rsidR="001E40DC" w:rsidRPr="00350989" w14:paraId="7DFA23EF" w14:textId="77777777" w:rsidTr="0069684A">
        <w:trPr>
          <w:trHeight w:val="20"/>
        </w:trPr>
        <w:tc>
          <w:tcPr>
            <w:tcW w:w="1627" w:type="pct"/>
            <w:gridSpan w:val="2"/>
            <w:shd w:val="clear" w:color="auto" w:fill="auto"/>
            <w:noWrap/>
            <w:hideMark/>
          </w:tcPr>
          <w:p w14:paraId="0ED09DC8"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Muscle Problems</w:t>
            </w:r>
          </w:p>
        </w:tc>
        <w:tc>
          <w:tcPr>
            <w:tcW w:w="683" w:type="pct"/>
            <w:shd w:val="clear" w:color="auto" w:fill="auto"/>
          </w:tcPr>
          <w:p w14:paraId="7441CB62" w14:textId="77777777" w:rsidR="001E40DC" w:rsidRPr="00350989" w:rsidRDefault="001E40DC" w:rsidP="000D7F61">
            <w:pPr>
              <w:spacing w:after="0"/>
              <w:rPr>
                <w:sz w:val="20"/>
              </w:rPr>
            </w:pPr>
            <w:r w:rsidRPr="00350989">
              <w:rPr>
                <w:rFonts w:eastAsia="Times New Roman"/>
                <w:color w:val="000000"/>
                <w:sz w:val="20"/>
                <w:lang w:eastAsia="el-GR"/>
              </w:rPr>
              <w:t>0</w:t>
            </w:r>
          </w:p>
        </w:tc>
        <w:tc>
          <w:tcPr>
            <w:tcW w:w="766" w:type="pct"/>
            <w:shd w:val="clear" w:color="auto" w:fill="auto"/>
            <w:noWrap/>
            <w:hideMark/>
          </w:tcPr>
          <w:p w14:paraId="1B24649E" w14:textId="77777777" w:rsidR="001E40DC" w:rsidRPr="00350989" w:rsidRDefault="001E40DC" w:rsidP="000D7F61">
            <w:pPr>
              <w:spacing w:after="0"/>
              <w:rPr>
                <w:sz w:val="20"/>
              </w:rPr>
            </w:pPr>
            <w:r w:rsidRPr="00350989">
              <w:rPr>
                <w:rFonts w:eastAsia="Times New Roman"/>
                <w:color w:val="000000"/>
                <w:sz w:val="20"/>
                <w:lang w:eastAsia="el-GR"/>
              </w:rPr>
              <w:t>0</w:t>
            </w:r>
          </w:p>
        </w:tc>
        <w:tc>
          <w:tcPr>
            <w:tcW w:w="766" w:type="pct"/>
            <w:shd w:val="clear" w:color="auto" w:fill="auto"/>
            <w:noWrap/>
            <w:hideMark/>
          </w:tcPr>
          <w:p w14:paraId="5E34B82B"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1</w:t>
            </w:r>
          </w:p>
        </w:tc>
        <w:tc>
          <w:tcPr>
            <w:tcW w:w="1158" w:type="pct"/>
            <w:shd w:val="clear" w:color="auto" w:fill="auto"/>
            <w:noWrap/>
            <w:hideMark/>
          </w:tcPr>
          <w:p w14:paraId="278A415C"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2</w:t>
            </w:r>
          </w:p>
        </w:tc>
      </w:tr>
      <w:tr w:rsidR="001E40DC" w:rsidRPr="00350989" w14:paraId="0C746F6A" w14:textId="77777777" w:rsidTr="0069684A">
        <w:trPr>
          <w:trHeight w:val="20"/>
        </w:trPr>
        <w:tc>
          <w:tcPr>
            <w:tcW w:w="1627" w:type="pct"/>
            <w:gridSpan w:val="2"/>
            <w:shd w:val="clear" w:color="auto" w:fill="auto"/>
            <w:noWrap/>
            <w:hideMark/>
          </w:tcPr>
          <w:p w14:paraId="00418CE7"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Diabetes</w:t>
            </w:r>
          </w:p>
        </w:tc>
        <w:tc>
          <w:tcPr>
            <w:tcW w:w="683" w:type="pct"/>
            <w:shd w:val="clear" w:color="auto" w:fill="auto"/>
          </w:tcPr>
          <w:p w14:paraId="6DC71DCE" w14:textId="77777777" w:rsidR="001E40DC" w:rsidRPr="00350989" w:rsidRDefault="001E40DC" w:rsidP="000D7F61">
            <w:pPr>
              <w:spacing w:after="0"/>
              <w:rPr>
                <w:sz w:val="20"/>
              </w:rPr>
            </w:pPr>
            <w:r w:rsidRPr="00350989">
              <w:rPr>
                <w:rFonts w:eastAsia="Times New Roman"/>
                <w:color w:val="000000"/>
                <w:sz w:val="20"/>
                <w:lang w:eastAsia="el-GR"/>
              </w:rPr>
              <w:t>0</w:t>
            </w:r>
          </w:p>
        </w:tc>
        <w:tc>
          <w:tcPr>
            <w:tcW w:w="766" w:type="pct"/>
            <w:shd w:val="clear" w:color="auto" w:fill="auto"/>
            <w:noWrap/>
            <w:hideMark/>
          </w:tcPr>
          <w:p w14:paraId="0ACF6845" w14:textId="77777777" w:rsidR="001E40DC" w:rsidRPr="00350989" w:rsidRDefault="001E40DC" w:rsidP="000D7F61">
            <w:pPr>
              <w:spacing w:after="0"/>
              <w:rPr>
                <w:sz w:val="20"/>
              </w:rPr>
            </w:pPr>
            <w:r w:rsidRPr="00350989">
              <w:rPr>
                <w:rFonts w:eastAsia="Times New Roman"/>
                <w:color w:val="000000"/>
                <w:sz w:val="20"/>
                <w:lang w:eastAsia="el-GR"/>
              </w:rPr>
              <w:t>0</w:t>
            </w:r>
          </w:p>
        </w:tc>
        <w:tc>
          <w:tcPr>
            <w:tcW w:w="766" w:type="pct"/>
            <w:shd w:val="clear" w:color="auto" w:fill="auto"/>
            <w:noWrap/>
            <w:hideMark/>
          </w:tcPr>
          <w:p w14:paraId="51DFC74D"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0</w:t>
            </w:r>
          </w:p>
        </w:tc>
        <w:tc>
          <w:tcPr>
            <w:tcW w:w="1158" w:type="pct"/>
            <w:shd w:val="clear" w:color="auto" w:fill="auto"/>
            <w:noWrap/>
            <w:hideMark/>
          </w:tcPr>
          <w:p w14:paraId="10EDC392"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1</w:t>
            </w:r>
          </w:p>
        </w:tc>
      </w:tr>
      <w:tr w:rsidR="001E40DC" w:rsidRPr="00350989" w14:paraId="0657E72D" w14:textId="77777777" w:rsidTr="0069684A">
        <w:trPr>
          <w:trHeight w:val="20"/>
        </w:trPr>
        <w:tc>
          <w:tcPr>
            <w:tcW w:w="1627" w:type="pct"/>
            <w:gridSpan w:val="2"/>
            <w:shd w:val="clear" w:color="auto" w:fill="auto"/>
            <w:noWrap/>
            <w:hideMark/>
          </w:tcPr>
          <w:p w14:paraId="69E2F1E6"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Hypertension</w:t>
            </w:r>
          </w:p>
        </w:tc>
        <w:tc>
          <w:tcPr>
            <w:tcW w:w="683" w:type="pct"/>
            <w:shd w:val="clear" w:color="auto" w:fill="auto"/>
          </w:tcPr>
          <w:p w14:paraId="4266EDD4" w14:textId="77777777" w:rsidR="001E40DC" w:rsidRPr="00350989" w:rsidRDefault="001E40DC" w:rsidP="000D7F61">
            <w:pPr>
              <w:spacing w:after="0"/>
              <w:rPr>
                <w:sz w:val="20"/>
              </w:rPr>
            </w:pPr>
            <w:r w:rsidRPr="00350989">
              <w:rPr>
                <w:rFonts w:eastAsia="Times New Roman"/>
                <w:color w:val="000000"/>
                <w:sz w:val="20"/>
                <w:lang w:eastAsia="el-GR"/>
              </w:rPr>
              <w:t>0</w:t>
            </w:r>
          </w:p>
        </w:tc>
        <w:tc>
          <w:tcPr>
            <w:tcW w:w="766" w:type="pct"/>
            <w:shd w:val="clear" w:color="auto" w:fill="auto"/>
            <w:noWrap/>
            <w:hideMark/>
          </w:tcPr>
          <w:p w14:paraId="01BEBFBA" w14:textId="77777777" w:rsidR="001E40DC" w:rsidRPr="00350989" w:rsidRDefault="001E40DC" w:rsidP="000D7F61">
            <w:pPr>
              <w:spacing w:after="0"/>
              <w:rPr>
                <w:sz w:val="20"/>
              </w:rPr>
            </w:pPr>
            <w:r w:rsidRPr="00350989">
              <w:rPr>
                <w:rFonts w:eastAsia="Times New Roman"/>
                <w:color w:val="000000"/>
                <w:sz w:val="20"/>
                <w:lang w:eastAsia="el-GR"/>
              </w:rPr>
              <w:t>0</w:t>
            </w:r>
          </w:p>
        </w:tc>
        <w:tc>
          <w:tcPr>
            <w:tcW w:w="766" w:type="pct"/>
            <w:shd w:val="clear" w:color="auto" w:fill="auto"/>
            <w:noWrap/>
            <w:hideMark/>
          </w:tcPr>
          <w:p w14:paraId="0DCDF0A8"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0</w:t>
            </w:r>
          </w:p>
        </w:tc>
        <w:tc>
          <w:tcPr>
            <w:tcW w:w="1158" w:type="pct"/>
            <w:shd w:val="clear" w:color="auto" w:fill="auto"/>
            <w:noWrap/>
            <w:hideMark/>
          </w:tcPr>
          <w:p w14:paraId="30960559"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1</w:t>
            </w:r>
          </w:p>
        </w:tc>
      </w:tr>
      <w:tr w:rsidR="001E40DC" w:rsidRPr="00350989" w14:paraId="28B3105A" w14:textId="77777777" w:rsidTr="0069684A">
        <w:trPr>
          <w:trHeight w:val="20"/>
        </w:trPr>
        <w:tc>
          <w:tcPr>
            <w:tcW w:w="1627" w:type="pct"/>
            <w:gridSpan w:val="2"/>
            <w:shd w:val="clear" w:color="auto" w:fill="auto"/>
            <w:noWrap/>
            <w:hideMark/>
          </w:tcPr>
          <w:p w14:paraId="754C5388" w14:textId="77777777" w:rsidR="001E40DC" w:rsidRPr="00350989" w:rsidRDefault="001E40DC" w:rsidP="000D7F61">
            <w:pPr>
              <w:spacing w:after="0"/>
              <w:rPr>
                <w:rFonts w:eastAsia="Times New Roman"/>
                <w:color w:val="000000"/>
                <w:sz w:val="20"/>
                <w:lang w:eastAsia="el-GR"/>
              </w:rPr>
            </w:pPr>
            <w:proofErr w:type="spellStart"/>
            <w:r w:rsidRPr="00350989">
              <w:rPr>
                <w:rFonts w:eastAsia="Times New Roman"/>
                <w:color w:val="000000"/>
                <w:sz w:val="20"/>
                <w:lang w:eastAsia="el-GR"/>
              </w:rPr>
              <w:t>Ocher</w:t>
            </w:r>
            <w:proofErr w:type="spellEnd"/>
          </w:p>
        </w:tc>
        <w:tc>
          <w:tcPr>
            <w:tcW w:w="683" w:type="pct"/>
            <w:shd w:val="clear" w:color="auto" w:fill="auto"/>
          </w:tcPr>
          <w:p w14:paraId="0C2D6C5D" w14:textId="77777777" w:rsidR="001E40DC" w:rsidRPr="00350989" w:rsidRDefault="001E40DC" w:rsidP="000D7F61">
            <w:pPr>
              <w:spacing w:after="0"/>
              <w:rPr>
                <w:sz w:val="20"/>
              </w:rPr>
            </w:pPr>
            <w:r w:rsidRPr="00350989">
              <w:rPr>
                <w:rFonts w:eastAsia="Times New Roman"/>
                <w:color w:val="000000"/>
                <w:sz w:val="20"/>
                <w:lang w:eastAsia="el-GR"/>
              </w:rPr>
              <w:t>0</w:t>
            </w:r>
          </w:p>
        </w:tc>
        <w:tc>
          <w:tcPr>
            <w:tcW w:w="766" w:type="pct"/>
            <w:shd w:val="clear" w:color="auto" w:fill="auto"/>
            <w:noWrap/>
            <w:hideMark/>
          </w:tcPr>
          <w:p w14:paraId="45A2EB40" w14:textId="77777777" w:rsidR="001E40DC" w:rsidRPr="00350989" w:rsidRDefault="001E40DC" w:rsidP="000D7F61">
            <w:pPr>
              <w:spacing w:after="0"/>
              <w:rPr>
                <w:sz w:val="20"/>
              </w:rPr>
            </w:pPr>
            <w:r w:rsidRPr="00350989">
              <w:rPr>
                <w:rFonts w:eastAsia="Times New Roman"/>
                <w:color w:val="000000"/>
                <w:sz w:val="20"/>
                <w:lang w:eastAsia="el-GR"/>
              </w:rPr>
              <w:t>0</w:t>
            </w:r>
          </w:p>
        </w:tc>
        <w:tc>
          <w:tcPr>
            <w:tcW w:w="766" w:type="pct"/>
            <w:shd w:val="clear" w:color="auto" w:fill="auto"/>
            <w:noWrap/>
            <w:hideMark/>
          </w:tcPr>
          <w:p w14:paraId="1627CA53"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1</w:t>
            </w:r>
          </w:p>
        </w:tc>
        <w:tc>
          <w:tcPr>
            <w:tcW w:w="1158" w:type="pct"/>
            <w:shd w:val="clear" w:color="auto" w:fill="auto"/>
            <w:noWrap/>
            <w:hideMark/>
          </w:tcPr>
          <w:p w14:paraId="0F897DFD"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0</w:t>
            </w:r>
          </w:p>
        </w:tc>
      </w:tr>
      <w:tr w:rsidR="001E40DC" w:rsidRPr="00350989" w14:paraId="3694F6C1" w14:textId="77777777" w:rsidTr="0069684A">
        <w:trPr>
          <w:trHeight w:val="20"/>
        </w:trPr>
        <w:tc>
          <w:tcPr>
            <w:tcW w:w="1627" w:type="pct"/>
            <w:gridSpan w:val="2"/>
            <w:shd w:val="clear" w:color="auto" w:fill="auto"/>
            <w:noWrap/>
            <w:hideMark/>
          </w:tcPr>
          <w:p w14:paraId="7887246F"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Phocomelia</w:t>
            </w:r>
          </w:p>
        </w:tc>
        <w:tc>
          <w:tcPr>
            <w:tcW w:w="683" w:type="pct"/>
            <w:shd w:val="clear" w:color="auto" w:fill="auto"/>
          </w:tcPr>
          <w:p w14:paraId="738DAB0F" w14:textId="77777777" w:rsidR="001E40DC" w:rsidRPr="00350989" w:rsidRDefault="001E40DC" w:rsidP="000D7F61">
            <w:pPr>
              <w:spacing w:after="0"/>
              <w:rPr>
                <w:sz w:val="20"/>
              </w:rPr>
            </w:pPr>
            <w:r w:rsidRPr="00350989">
              <w:rPr>
                <w:rFonts w:eastAsia="Times New Roman"/>
                <w:color w:val="000000"/>
                <w:sz w:val="20"/>
                <w:lang w:eastAsia="el-GR"/>
              </w:rPr>
              <w:t>0</w:t>
            </w:r>
          </w:p>
        </w:tc>
        <w:tc>
          <w:tcPr>
            <w:tcW w:w="766" w:type="pct"/>
            <w:shd w:val="clear" w:color="auto" w:fill="auto"/>
            <w:noWrap/>
            <w:hideMark/>
          </w:tcPr>
          <w:p w14:paraId="1CE85EA7" w14:textId="77777777" w:rsidR="001E40DC" w:rsidRPr="00350989" w:rsidRDefault="001E40DC" w:rsidP="000D7F61">
            <w:pPr>
              <w:spacing w:after="0"/>
              <w:rPr>
                <w:sz w:val="20"/>
              </w:rPr>
            </w:pPr>
            <w:r w:rsidRPr="00350989">
              <w:rPr>
                <w:rFonts w:eastAsia="Times New Roman"/>
                <w:color w:val="000000"/>
                <w:sz w:val="20"/>
                <w:lang w:eastAsia="el-GR"/>
              </w:rPr>
              <w:t>0</w:t>
            </w:r>
          </w:p>
        </w:tc>
        <w:tc>
          <w:tcPr>
            <w:tcW w:w="766" w:type="pct"/>
            <w:shd w:val="clear" w:color="auto" w:fill="auto"/>
            <w:noWrap/>
            <w:hideMark/>
          </w:tcPr>
          <w:p w14:paraId="1983FE6B"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1</w:t>
            </w:r>
          </w:p>
        </w:tc>
        <w:tc>
          <w:tcPr>
            <w:tcW w:w="1158" w:type="pct"/>
            <w:shd w:val="clear" w:color="auto" w:fill="auto"/>
            <w:noWrap/>
            <w:hideMark/>
          </w:tcPr>
          <w:p w14:paraId="77C408DD"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1</w:t>
            </w:r>
          </w:p>
        </w:tc>
      </w:tr>
      <w:tr w:rsidR="001E40DC" w:rsidRPr="00350989" w14:paraId="61F7DCFF" w14:textId="77777777" w:rsidTr="0069684A">
        <w:trPr>
          <w:trHeight w:val="20"/>
        </w:trPr>
        <w:tc>
          <w:tcPr>
            <w:tcW w:w="1627" w:type="pct"/>
            <w:gridSpan w:val="2"/>
            <w:shd w:val="clear" w:color="auto" w:fill="auto"/>
            <w:noWrap/>
            <w:hideMark/>
          </w:tcPr>
          <w:p w14:paraId="0BCB1652" w14:textId="77777777" w:rsidR="001E40DC" w:rsidRPr="00350989" w:rsidRDefault="001E40DC" w:rsidP="000D7F61">
            <w:pPr>
              <w:spacing w:after="0"/>
              <w:rPr>
                <w:rFonts w:eastAsia="Times New Roman"/>
                <w:color w:val="000000"/>
                <w:sz w:val="20"/>
                <w:lang w:eastAsia="el-GR"/>
              </w:rPr>
            </w:pPr>
            <w:proofErr w:type="spellStart"/>
            <w:r w:rsidRPr="00350989">
              <w:rPr>
                <w:rFonts w:eastAsia="Times New Roman"/>
                <w:color w:val="000000"/>
                <w:sz w:val="20"/>
                <w:lang w:eastAsia="el-GR"/>
              </w:rPr>
              <w:t>Scoptic</w:t>
            </w:r>
            <w:proofErr w:type="spellEnd"/>
            <w:r w:rsidRPr="00350989">
              <w:rPr>
                <w:rFonts w:eastAsia="Times New Roman"/>
                <w:color w:val="000000"/>
                <w:sz w:val="20"/>
                <w:lang w:eastAsia="el-GR"/>
              </w:rPr>
              <w:t xml:space="preserve"> Sensitivity Syndrome</w:t>
            </w:r>
          </w:p>
        </w:tc>
        <w:tc>
          <w:tcPr>
            <w:tcW w:w="683" w:type="pct"/>
            <w:shd w:val="clear" w:color="auto" w:fill="auto"/>
          </w:tcPr>
          <w:p w14:paraId="0923F0DA" w14:textId="77777777" w:rsidR="001E40DC" w:rsidRPr="00350989" w:rsidRDefault="001E40DC" w:rsidP="000D7F61">
            <w:pPr>
              <w:spacing w:after="0"/>
              <w:rPr>
                <w:sz w:val="20"/>
              </w:rPr>
            </w:pPr>
            <w:r w:rsidRPr="00350989">
              <w:rPr>
                <w:rFonts w:eastAsia="Times New Roman"/>
                <w:color w:val="000000"/>
                <w:sz w:val="20"/>
                <w:lang w:eastAsia="el-GR"/>
              </w:rPr>
              <w:t>0</w:t>
            </w:r>
          </w:p>
        </w:tc>
        <w:tc>
          <w:tcPr>
            <w:tcW w:w="766" w:type="pct"/>
            <w:shd w:val="clear" w:color="auto" w:fill="auto"/>
            <w:noWrap/>
            <w:hideMark/>
          </w:tcPr>
          <w:p w14:paraId="42DBA35A" w14:textId="77777777" w:rsidR="001E40DC" w:rsidRPr="00350989" w:rsidRDefault="001E40DC" w:rsidP="000D7F61">
            <w:pPr>
              <w:spacing w:after="0"/>
              <w:rPr>
                <w:sz w:val="20"/>
              </w:rPr>
            </w:pPr>
            <w:r w:rsidRPr="00350989">
              <w:rPr>
                <w:rFonts w:eastAsia="Times New Roman"/>
                <w:color w:val="000000"/>
                <w:sz w:val="20"/>
                <w:lang w:eastAsia="el-GR"/>
              </w:rPr>
              <w:t>0</w:t>
            </w:r>
          </w:p>
        </w:tc>
        <w:tc>
          <w:tcPr>
            <w:tcW w:w="766" w:type="pct"/>
            <w:shd w:val="clear" w:color="auto" w:fill="auto"/>
            <w:noWrap/>
            <w:hideMark/>
          </w:tcPr>
          <w:p w14:paraId="7F168A75"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1</w:t>
            </w:r>
          </w:p>
        </w:tc>
        <w:tc>
          <w:tcPr>
            <w:tcW w:w="1158" w:type="pct"/>
            <w:shd w:val="clear" w:color="auto" w:fill="auto"/>
            <w:noWrap/>
            <w:hideMark/>
          </w:tcPr>
          <w:p w14:paraId="1ECAB7BF"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1</w:t>
            </w:r>
          </w:p>
        </w:tc>
      </w:tr>
      <w:tr w:rsidR="001E40DC" w:rsidRPr="00350989" w14:paraId="45CC620C" w14:textId="77777777" w:rsidTr="0069684A">
        <w:trPr>
          <w:trHeight w:val="20"/>
        </w:trPr>
        <w:tc>
          <w:tcPr>
            <w:tcW w:w="1627" w:type="pct"/>
            <w:gridSpan w:val="2"/>
            <w:shd w:val="clear" w:color="auto" w:fill="auto"/>
            <w:noWrap/>
            <w:hideMark/>
          </w:tcPr>
          <w:p w14:paraId="7CE60ED4" w14:textId="77777777" w:rsidR="001E40DC" w:rsidRPr="00350989" w:rsidRDefault="001E40DC" w:rsidP="000D7F61">
            <w:pPr>
              <w:spacing w:after="0"/>
              <w:rPr>
                <w:rFonts w:eastAsia="Times New Roman"/>
                <w:color w:val="000000"/>
                <w:sz w:val="20"/>
                <w:lang w:eastAsia="el-GR"/>
              </w:rPr>
            </w:pPr>
            <w:proofErr w:type="spellStart"/>
            <w:r w:rsidRPr="00350989">
              <w:rPr>
                <w:rFonts w:eastAsia="Times New Roman"/>
                <w:color w:val="000000"/>
                <w:sz w:val="20"/>
                <w:lang w:eastAsia="el-GR"/>
              </w:rPr>
              <w:t>Sjogrens</w:t>
            </w:r>
            <w:proofErr w:type="spellEnd"/>
            <w:r w:rsidRPr="00350989">
              <w:rPr>
                <w:rFonts w:eastAsia="Times New Roman"/>
                <w:color w:val="000000"/>
                <w:sz w:val="20"/>
                <w:lang w:eastAsia="el-GR"/>
              </w:rPr>
              <w:t xml:space="preserve"> Syndrome</w:t>
            </w:r>
          </w:p>
        </w:tc>
        <w:tc>
          <w:tcPr>
            <w:tcW w:w="683" w:type="pct"/>
            <w:shd w:val="clear" w:color="auto" w:fill="auto"/>
          </w:tcPr>
          <w:p w14:paraId="20D3E64F" w14:textId="77777777" w:rsidR="001E40DC" w:rsidRPr="00350989" w:rsidRDefault="001E40DC" w:rsidP="000D7F61">
            <w:pPr>
              <w:spacing w:after="0"/>
              <w:rPr>
                <w:sz w:val="20"/>
              </w:rPr>
            </w:pPr>
            <w:r w:rsidRPr="00350989">
              <w:rPr>
                <w:rFonts w:eastAsia="Times New Roman"/>
                <w:color w:val="000000"/>
                <w:sz w:val="20"/>
                <w:lang w:eastAsia="el-GR"/>
              </w:rPr>
              <w:t>0</w:t>
            </w:r>
          </w:p>
        </w:tc>
        <w:tc>
          <w:tcPr>
            <w:tcW w:w="766" w:type="pct"/>
            <w:shd w:val="clear" w:color="auto" w:fill="auto"/>
            <w:noWrap/>
            <w:hideMark/>
          </w:tcPr>
          <w:p w14:paraId="7C3731F2" w14:textId="77777777" w:rsidR="001E40DC" w:rsidRPr="00350989" w:rsidRDefault="001E40DC" w:rsidP="000D7F61">
            <w:pPr>
              <w:spacing w:after="0"/>
              <w:rPr>
                <w:sz w:val="20"/>
              </w:rPr>
            </w:pPr>
            <w:r w:rsidRPr="00350989">
              <w:rPr>
                <w:rFonts w:eastAsia="Times New Roman"/>
                <w:color w:val="000000"/>
                <w:sz w:val="20"/>
                <w:lang w:eastAsia="el-GR"/>
              </w:rPr>
              <w:t>0</w:t>
            </w:r>
          </w:p>
        </w:tc>
        <w:tc>
          <w:tcPr>
            <w:tcW w:w="766" w:type="pct"/>
            <w:shd w:val="clear" w:color="auto" w:fill="auto"/>
            <w:noWrap/>
            <w:hideMark/>
          </w:tcPr>
          <w:p w14:paraId="6C841B87"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1</w:t>
            </w:r>
          </w:p>
        </w:tc>
        <w:tc>
          <w:tcPr>
            <w:tcW w:w="1158" w:type="pct"/>
            <w:shd w:val="clear" w:color="auto" w:fill="auto"/>
            <w:noWrap/>
            <w:hideMark/>
          </w:tcPr>
          <w:p w14:paraId="23210BBF"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0</w:t>
            </w:r>
          </w:p>
        </w:tc>
      </w:tr>
      <w:tr w:rsidR="001E40DC" w:rsidRPr="00350989" w14:paraId="7CA0980F" w14:textId="77777777" w:rsidTr="0069684A">
        <w:trPr>
          <w:trHeight w:val="20"/>
        </w:trPr>
        <w:tc>
          <w:tcPr>
            <w:tcW w:w="1627" w:type="pct"/>
            <w:gridSpan w:val="2"/>
            <w:shd w:val="clear" w:color="auto" w:fill="auto"/>
            <w:noWrap/>
            <w:hideMark/>
          </w:tcPr>
          <w:p w14:paraId="4CDA4106"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Other</w:t>
            </w:r>
          </w:p>
        </w:tc>
        <w:tc>
          <w:tcPr>
            <w:tcW w:w="683" w:type="pct"/>
            <w:shd w:val="clear" w:color="auto" w:fill="auto"/>
          </w:tcPr>
          <w:p w14:paraId="6BFD54C6"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9</w:t>
            </w:r>
          </w:p>
        </w:tc>
        <w:tc>
          <w:tcPr>
            <w:tcW w:w="766" w:type="pct"/>
            <w:shd w:val="clear" w:color="auto" w:fill="auto"/>
            <w:noWrap/>
            <w:hideMark/>
          </w:tcPr>
          <w:p w14:paraId="70AA28B6"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9</w:t>
            </w:r>
          </w:p>
        </w:tc>
        <w:tc>
          <w:tcPr>
            <w:tcW w:w="766" w:type="pct"/>
            <w:shd w:val="clear" w:color="auto" w:fill="auto"/>
            <w:noWrap/>
            <w:hideMark/>
          </w:tcPr>
          <w:p w14:paraId="4AE8C6D4"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0</w:t>
            </w:r>
          </w:p>
        </w:tc>
        <w:tc>
          <w:tcPr>
            <w:tcW w:w="1158" w:type="pct"/>
            <w:shd w:val="clear" w:color="auto" w:fill="auto"/>
            <w:noWrap/>
            <w:hideMark/>
          </w:tcPr>
          <w:p w14:paraId="5F207E78" w14:textId="77777777" w:rsidR="001E40DC" w:rsidRPr="00350989" w:rsidRDefault="001E40DC" w:rsidP="000D7F61">
            <w:pPr>
              <w:spacing w:after="0"/>
              <w:rPr>
                <w:rFonts w:eastAsia="Times New Roman"/>
                <w:color w:val="000000"/>
                <w:sz w:val="20"/>
                <w:lang w:eastAsia="el-GR"/>
              </w:rPr>
            </w:pPr>
            <w:r w:rsidRPr="00350989">
              <w:rPr>
                <w:rFonts w:eastAsia="Times New Roman"/>
                <w:color w:val="000000"/>
                <w:sz w:val="20"/>
                <w:lang w:eastAsia="el-GR"/>
              </w:rPr>
              <w:t>0</w:t>
            </w:r>
          </w:p>
        </w:tc>
      </w:tr>
      <w:tr w:rsidR="001E40DC" w:rsidRPr="00350989" w14:paraId="71E4EECC" w14:textId="77777777" w:rsidTr="0069684A">
        <w:trPr>
          <w:trHeight w:val="20"/>
        </w:trPr>
        <w:tc>
          <w:tcPr>
            <w:tcW w:w="1627" w:type="pct"/>
            <w:gridSpan w:val="2"/>
            <w:shd w:val="clear" w:color="auto" w:fill="auto"/>
            <w:noWrap/>
            <w:hideMark/>
          </w:tcPr>
          <w:p w14:paraId="37F668D1" w14:textId="77777777" w:rsidR="001E40DC" w:rsidRPr="00350989" w:rsidRDefault="001E40DC" w:rsidP="000D7F61">
            <w:pPr>
              <w:spacing w:after="0"/>
              <w:rPr>
                <w:rFonts w:eastAsia="Times New Roman"/>
                <w:b/>
                <w:bCs/>
                <w:color w:val="000000"/>
                <w:sz w:val="20"/>
                <w:lang w:eastAsia="el-GR"/>
              </w:rPr>
            </w:pPr>
            <w:r w:rsidRPr="00350989">
              <w:rPr>
                <w:rFonts w:eastAsia="Times New Roman"/>
                <w:b/>
                <w:bCs/>
                <w:color w:val="000000"/>
                <w:sz w:val="20"/>
                <w:lang w:eastAsia="el-GR"/>
              </w:rPr>
              <w:t>Total</w:t>
            </w:r>
          </w:p>
        </w:tc>
        <w:tc>
          <w:tcPr>
            <w:tcW w:w="683" w:type="pct"/>
            <w:shd w:val="clear" w:color="auto" w:fill="auto"/>
          </w:tcPr>
          <w:p w14:paraId="031FED06" w14:textId="77777777" w:rsidR="001E40DC" w:rsidRPr="00350989" w:rsidRDefault="001E40DC" w:rsidP="000D7F61">
            <w:pPr>
              <w:spacing w:after="0"/>
              <w:rPr>
                <w:rFonts w:eastAsia="Times New Roman"/>
                <w:b/>
                <w:bCs/>
                <w:color w:val="000000"/>
                <w:sz w:val="20"/>
                <w:lang w:eastAsia="el-GR"/>
              </w:rPr>
            </w:pPr>
            <w:r w:rsidRPr="00350989">
              <w:rPr>
                <w:rFonts w:eastAsia="Times New Roman"/>
                <w:b/>
                <w:bCs/>
                <w:color w:val="000000"/>
                <w:sz w:val="20"/>
                <w:lang w:eastAsia="el-GR"/>
              </w:rPr>
              <w:t>57</w:t>
            </w:r>
          </w:p>
        </w:tc>
        <w:tc>
          <w:tcPr>
            <w:tcW w:w="766" w:type="pct"/>
            <w:shd w:val="clear" w:color="auto" w:fill="auto"/>
            <w:noWrap/>
            <w:hideMark/>
          </w:tcPr>
          <w:p w14:paraId="7AD4C383" w14:textId="77777777" w:rsidR="001E40DC" w:rsidRPr="00350989" w:rsidRDefault="001E40DC" w:rsidP="000D7F61">
            <w:pPr>
              <w:spacing w:after="0"/>
              <w:rPr>
                <w:rFonts w:eastAsia="Times New Roman"/>
                <w:b/>
                <w:bCs/>
                <w:color w:val="000000"/>
                <w:sz w:val="20"/>
                <w:lang w:eastAsia="el-GR"/>
              </w:rPr>
            </w:pPr>
            <w:r w:rsidRPr="00350989">
              <w:rPr>
                <w:rFonts w:eastAsia="Times New Roman"/>
                <w:b/>
                <w:bCs/>
                <w:color w:val="000000"/>
                <w:sz w:val="20"/>
                <w:lang w:eastAsia="el-GR"/>
              </w:rPr>
              <w:t>68</w:t>
            </w:r>
          </w:p>
        </w:tc>
        <w:tc>
          <w:tcPr>
            <w:tcW w:w="766" w:type="pct"/>
            <w:shd w:val="clear" w:color="auto" w:fill="auto"/>
            <w:noWrap/>
            <w:hideMark/>
          </w:tcPr>
          <w:p w14:paraId="4F5D6B9B" w14:textId="77777777" w:rsidR="001E40DC" w:rsidRPr="00350989" w:rsidRDefault="001E40DC" w:rsidP="000D7F61">
            <w:pPr>
              <w:spacing w:after="0"/>
              <w:rPr>
                <w:rFonts w:eastAsia="Times New Roman"/>
                <w:b/>
                <w:bCs/>
                <w:color w:val="000000"/>
                <w:sz w:val="20"/>
                <w:lang w:eastAsia="el-GR"/>
              </w:rPr>
            </w:pPr>
            <w:r w:rsidRPr="00350989">
              <w:rPr>
                <w:rFonts w:eastAsia="Times New Roman"/>
                <w:b/>
                <w:bCs/>
                <w:color w:val="000000"/>
                <w:sz w:val="20"/>
                <w:lang w:eastAsia="el-GR"/>
              </w:rPr>
              <w:t>87</w:t>
            </w:r>
          </w:p>
        </w:tc>
        <w:tc>
          <w:tcPr>
            <w:tcW w:w="1158" w:type="pct"/>
            <w:shd w:val="clear" w:color="auto" w:fill="auto"/>
            <w:noWrap/>
            <w:hideMark/>
          </w:tcPr>
          <w:p w14:paraId="4DF6032F" w14:textId="77777777" w:rsidR="001E40DC" w:rsidRPr="00350989" w:rsidRDefault="001E40DC" w:rsidP="000D7F61">
            <w:pPr>
              <w:spacing w:after="0"/>
              <w:rPr>
                <w:rFonts w:eastAsia="Times New Roman"/>
                <w:b/>
                <w:bCs/>
                <w:color w:val="000000"/>
                <w:sz w:val="20"/>
                <w:lang w:eastAsia="el-GR"/>
              </w:rPr>
            </w:pPr>
            <w:r w:rsidRPr="00350989">
              <w:rPr>
                <w:rFonts w:eastAsia="Times New Roman"/>
                <w:b/>
                <w:bCs/>
                <w:color w:val="000000"/>
                <w:sz w:val="20"/>
                <w:lang w:eastAsia="el-GR"/>
              </w:rPr>
              <w:t>32</w:t>
            </w:r>
          </w:p>
        </w:tc>
      </w:tr>
      <w:tr w:rsidR="001E40DC" w:rsidRPr="00350989" w14:paraId="4D2B03A2" w14:textId="77777777" w:rsidTr="0069684A">
        <w:trPr>
          <w:trHeight w:val="20"/>
        </w:trPr>
        <w:tc>
          <w:tcPr>
            <w:tcW w:w="1620" w:type="pct"/>
            <w:shd w:val="clear" w:color="auto" w:fill="auto"/>
          </w:tcPr>
          <w:p w14:paraId="76AA084F" w14:textId="77777777" w:rsidR="001E40DC" w:rsidRPr="00350989" w:rsidRDefault="001E40DC" w:rsidP="000D7F61">
            <w:pPr>
              <w:spacing w:after="0"/>
              <w:rPr>
                <w:rFonts w:eastAsia="Times New Roman"/>
                <w:b/>
                <w:bCs/>
                <w:i/>
                <w:color w:val="000000"/>
                <w:sz w:val="20"/>
                <w:lang w:eastAsia="el-GR"/>
              </w:rPr>
            </w:pPr>
          </w:p>
        </w:tc>
        <w:tc>
          <w:tcPr>
            <w:tcW w:w="3380" w:type="pct"/>
            <w:gridSpan w:val="5"/>
            <w:shd w:val="clear" w:color="auto" w:fill="auto"/>
            <w:noWrap/>
          </w:tcPr>
          <w:p w14:paraId="740DB6CE" w14:textId="77777777" w:rsidR="001E40DC" w:rsidRPr="00350989" w:rsidRDefault="001E40DC" w:rsidP="000D7F61">
            <w:pPr>
              <w:spacing w:after="0"/>
              <w:rPr>
                <w:rFonts w:eastAsia="Times New Roman"/>
                <w:b/>
                <w:bCs/>
                <w:i/>
                <w:color w:val="000000"/>
                <w:sz w:val="20"/>
                <w:lang w:eastAsia="el-GR"/>
              </w:rPr>
            </w:pPr>
            <w:r w:rsidRPr="00350989">
              <w:rPr>
                <w:rFonts w:eastAsia="Times New Roman"/>
                <w:b/>
                <w:bCs/>
                <w:i/>
                <w:color w:val="000000"/>
                <w:sz w:val="20"/>
                <w:lang w:eastAsia="el-GR"/>
              </w:rPr>
              <w:t>*</w:t>
            </w:r>
            <w:r w:rsidRPr="00350989">
              <w:rPr>
                <w:rFonts w:eastAsia="Times New Roman"/>
                <w:bCs/>
                <w:i/>
                <w:color w:val="000000"/>
                <w:sz w:val="20"/>
                <w:lang w:eastAsia="el-GR"/>
              </w:rPr>
              <w:t>Not available yet: The university did not collect the data yet</w:t>
            </w:r>
          </w:p>
        </w:tc>
      </w:tr>
    </w:tbl>
    <w:p w14:paraId="06372F01" w14:textId="77777777" w:rsidR="001E40DC" w:rsidRPr="00350989" w:rsidRDefault="001E40DC" w:rsidP="000D7F61">
      <w:pPr>
        <w:spacing w:after="0"/>
        <w:rPr>
          <w:b/>
        </w:rPr>
      </w:pPr>
    </w:p>
    <w:p w14:paraId="0E12E1FA" w14:textId="77777777" w:rsidR="001E40DC" w:rsidRPr="00350989" w:rsidRDefault="001E40DC" w:rsidP="000D7F61">
      <w:pPr>
        <w:spacing w:after="0"/>
        <w:rPr>
          <w:b/>
        </w:rPr>
      </w:pPr>
      <w:r w:rsidRPr="00350989">
        <w:rPr>
          <w:b/>
        </w:rPr>
        <w:t xml:space="preserve">Table: </w:t>
      </w:r>
      <w:proofErr w:type="spellStart"/>
      <w:r w:rsidRPr="00350989">
        <w:rPr>
          <w:b/>
        </w:rPr>
        <w:t>Neapolis</w:t>
      </w:r>
      <w:proofErr w:type="spellEnd"/>
      <w:r w:rsidRPr="00350989">
        <w:rPr>
          <w:b/>
        </w:rPr>
        <w:t xml:space="preserve"> University – Students per disability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1295"/>
        <w:gridCol w:w="1484"/>
        <w:gridCol w:w="1618"/>
        <w:gridCol w:w="1455"/>
      </w:tblGrid>
      <w:tr w:rsidR="009672E6" w:rsidRPr="00350989" w14:paraId="150D02D9" w14:textId="77777777" w:rsidTr="0069684A">
        <w:trPr>
          <w:trHeight w:val="20"/>
        </w:trPr>
        <w:tc>
          <w:tcPr>
            <w:tcW w:w="1770" w:type="pct"/>
            <w:shd w:val="clear" w:color="auto" w:fill="auto"/>
            <w:noWrap/>
            <w:hideMark/>
          </w:tcPr>
          <w:p w14:paraId="0573F889" w14:textId="77777777" w:rsidR="001E40DC" w:rsidRPr="00350989" w:rsidRDefault="001E40DC" w:rsidP="000D7F61">
            <w:pPr>
              <w:spacing w:after="0"/>
              <w:rPr>
                <w:color w:val="212121"/>
                <w:sz w:val="20"/>
              </w:rPr>
            </w:pPr>
            <w:r w:rsidRPr="00350989">
              <w:rPr>
                <w:b/>
                <w:color w:val="000000"/>
                <w:sz w:val="20"/>
              </w:rPr>
              <w:t> </w:t>
            </w:r>
          </w:p>
        </w:tc>
        <w:tc>
          <w:tcPr>
            <w:tcW w:w="714" w:type="pct"/>
            <w:shd w:val="clear" w:color="auto" w:fill="auto"/>
            <w:noWrap/>
            <w:hideMark/>
          </w:tcPr>
          <w:p w14:paraId="4D124289" w14:textId="77777777" w:rsidR="001E40DC" w:rsidRPr="00350989" w:rsidRDefault="001E40DC" w:rsidP="000D7F61">
            <w:pPr>
              <w:spacing w:after="0"/>
              <w:rPr>
                <w:color w:val="212121"/>
                <w:sz w:val="20"/>
              </w:rPr>
            </w:pPr>
            <w:r w:rsidRPr="00350989">
              <w:rPr>
                <w:b/>
                <w:color w:val="000000"/>
                <w:sz w:val="20"/>
              </w:rPr>
              <w:t>2011-2012</w:t>
            </w:r>
          </w:p>
        </w:tc>
        <w:tc>
          <w:tcPr>
            <w:tcW w:w="819" w:type="pct"/>
            <w:shd w:val="clear" w:color="auto" w:fill="auto"/>
            <w:noWrap/>
            <w:hideMark/>
          </w:tcPr>
          <w:p w14:paraId="508F6666" w14:textId="77777777" w:rsidR="001E40DC" w:rsidRPr="00350989" w:rsidRDefault="001E40DC" w:rsidP="000D7F61">
            <w:pPr>
              <w:spacing w:after="0"/>
              <w:rPr>
                <w:color w:val="212121"/>
                <w:sz w:val="20"/>
              </w:rPr>
            </w:pPr>
            <w:r w:rsidRPr="00350989">
              <w:rPr>
                <w:b/>
                <w:color w:val="000000"/>
                <w:sz w:val="20"/>
              </w:rPr>
              <w:t>2012-2013</w:t>
            </w:r>
          </w:p>
        </w:tc>
        <w:tc>
          <w:tcPr>
            <w:tcW w:w="893" w:type="pct"/>
            <w:shd w:val="clear" w:color="auto" w:fill="auto"/>
            <w:noWrap/>
            <w:hideMark/>
          </w:tcPr>
          <w:p w14:paraId="28582EB9" w14:textId="77777777" w:rsidR="001E40DC" w:rsidRPr="00350989" w:rsidRDefault="001E40DC" w:rsidP="000D7F61">
            <w:pPr>
              <w:spacing w:after="0"/>
              <w:rPr>
                <w:color w:val="212121"/>
                <w:sz w:val="20"/>
              </w:rPr>
            </w:pPr>
            <w:r w:rsidRPr="00350989">
              <w:rPr>
                <w:b/>
                <w:color w:val="000000"/>
                <w:sz w:val="20"/>
              </w:rPr>
              <w:t>2013-2014</w:t>
            </w:r>
          </w:p>
        </w:tc>
        <w:tc>
          <w:tcPr>
            <w:tcW w:w="803" w:type="pct"/>
            <w:shd w:val="clear" w:color="auto" w:fill="auto"/>
            <w:noWrap/>
            <w:hideMark/>
          </w:tcPr>
          <w:p w14:paraId="5A05369D" w14:textId="77777777" w:rsidR="001E40DC" w:rsidRPr="00350989" w:rsidRDefault="001E40DC" w:rsidP="000D7F61">
            <w:pPr>
              <w:spacing w:after="0"/>
              <w:rPr>
                <w:color w:val="212121"/>
                <w:sz w:val="20"/>
              </w:rPr>
            </w:pPr>
            <w:r w:rsidRPr="00350989">
              <w:rPr>
                <w:b/>
                <w:color w:val="000000"/>
                <w:sz w:val="20"/>
              </w:rPr>
              <w:t>2014-2015</w:t>
            </w:r>
          </w:p>
        </w:tc>
      </w:tr>
      <w:tr w:rsidR="009672E6" w:rsidRPr="00350989" w14:paraId="2ED9B44F" w14:textId="77777777" w:rsidTr="0069684A">
        <w:trPr>
          <w:trHeight w:val="20"/>
        </w:trPr>
        <w:tc>
          <w:tcPr>
            <w:tcW w:w="1770" w:type="pct"/>
            <w:shd w:val="clear" w:color="auto" w:fill="auto"/>
            <w:noWrap/>
            <w:hideMark/>
          </w:tcPr>
          <w:p w14:paraId="2F330232" w14:textId="77777777" w:rsidR="001E40DC" w:rsidRPr="00350989" w:rsidRDefault="001E40DC" w:rsidP="000D7F61">
            <w:pPr>
              <w:spacing w:after="0"/>
              <w:rPr>
                <w:color w:val="000000"/>
                <w:sz w:val="20"/>
              </w:rPr>
            </w:pPr>
            <w:r w:rsidRPr="00350989">
              <w:rPr>
                <w:color w:val="000000"/>
                <w:sz w:val="20"/>
              </w:rPr>
              <w:t>Hearing Impairment</w:t>
            </w:r>
          </w:p>
        </w:tc>
        <w:tc>
          <w:tcPr>
            <w:tcW w:w="714" w:type="pct"/>
            <w:shd w:val="clear" w:color="auto" w:fill="auto"/>
            <w:noWrap/>
            <w:hideMark/>
          </w:tcPr>
          <w:p w14:paraId="52E7F6F4" w14:textId="77777777" w:rsidR="001E40DC" w:rsidRPr="00350989" w:rsidRDefault="001E40DC" w:rsidP="000D7F61">
            <w:pPr>
              <w:spacing w:after="0"/>
              <w:rPr>
                <w:color w:val="000000"/>
                <w:sz w:val="20"/>
              </w:rPr>
            </w:pPr>
            <w:r w:rsidRPr="00350989">
              <w:rPr>
                <w:color w:val="000000"/>
                <w:sz w:val="20"/>
              </w:rPr>
              <w:t>0</w:t>
            </w:r>
          </w:p>
        </w:tc>
        <w:tc>
          <w:tcPr>
            <w:tcW w:w="819" w:type="pct"/>
            <w:shd w:val="clear" w:color="auto" w:fill="auto"/>
            <w:noWrap/>
            <w:hideMark/>
          </w:tcPr>
          <w:p w14:paraId="27F9D0B9" w14:textId="77777777" w:rsidR="001E40DC" w:rsidRPr="00350989" w:rsidRDefault="001E40DC" w:rsidP="000D7F61">
            <w:pPr>
              <w:spacing w:after="0"/>
              <w:rPr>
                <w:color w:val="000000"/>
                <w:sz w:val="20"/>
              </w:rPr>
            </w:pPr>
            <w:r w:rsidRPr="00350989">
              <w:rPr>
                <w:color w:val="000000"/>
                <w:sz w:val="20"/>
              </w:rPr>
              <w:t>1</w:t>
            </w:r>
          </w:p>
        </w:tc>
        <w:tc>
          <w:tcPr>
            <w:tcW w:w="893" w:type="pct"/>
            <w:shd w:val="clear" w:color="auto" w:fill="auto"/>
            <w:noWrap/>
            <w:hideMark/>
          </w:tcPr>
          <w:p w14:paraId="35C91A21" w14:textId="77777777" w:rsidR="001E40DC" w:rsidRPr="00350989" w:rsidRDefault="001E40DC" w:rsidP="000D7F61">
            <w:pPr>
              <w:spacing w:after="0"/>
              <w:rPr>
                <w:color w:val="000000"/>
                <w:sz w:val="20"/>
              </w:rPr>
            </w:pPr>
            <w:r w:rsidRPr="00350989">
              <w:rPr>
                <w:color w:val="000000"/>
                <w:sz w:val="20"/>
              </w:rPr>
              <w:t>2</w:t>
            </w:r>
          </w:p>
        </w:tc>
        <w:tc>
          <w:tcPr>
            <w:tcW w:w="803" w:type="pct"/>
            <w:shd w:val="clear" w:color="auto" w:fill="auto"/>
            <w:noWrap/>
            <w:hideMark/>
          </w:tcPr>
          <w:p w14:paraId="7EFC446B" w14:textId="77777777" w:rsidR="001E40DC" w:rsidRPr="00350989" w:rsidRDefault="001E40DC" w:rsidP="000D7F61">
            <w:pPr>
              <w:spacing w:after="0"/>
              <w:rPr>
                <w:color w:val="000000"/>
                <w:sz w:val="20"/>
              </w:rPr>
            </w:pPr>
            <w:r w:rsidRPr="00350989">
              <w:rPr>
                <w:color w:val="000000"/>
                <w:sz w:val="20"/>
              </w:rPr>
              <w:t>2</w:t>
            </w:r>
          </w:p>
        </w:tc>
      </w:tr>
      <w:tr w:rsidR="009672E6" w:rsidRPr="00350989" w14:paraId="5E840310" w14:textId="77777777" w:rsidTr="0069684A">
        <w:trPr>
          <w:trHeight w:val="20"/>
        </w:trPr>
        <w:tc>
          <w:tcPr>
            <w:tcW w:w="1770" w:type="pct"/>
            <w:shd w:val="clear" w:color="auto" w:fill="auto"/>
            <w:noWrap/>
            <w:hideMark/>
          </w:tcPr>
          <w:p w14:paraId="70E702DA" w14:textId="77777777" w:rsidR="001E40DC" w:rsidRPr="00350989" w:rsidRDefault="001E40DC" w:rsidP="000D7F61">
            <w:pPr>
              <w:spacing w:after="0"/>
              <w:rPr>
                <w:color w:val="000000"/>
                <w:sz w:val="20"/>
              </w:rPr>
            </w:pPr>
            <w:r w:rsidRPr="00350989">
              <w:rPr>
                <w:color w:val="000000"/>
                <w:sz w:val="20"/>
              </w:rPr>
              <w:t>Learning Disabilities (Dyslexia)</w:t>
            </w:r>
          </w:p>
        </w:tc>
        <w:tc>
          <w:tcPr>
            <w:tcW w:w="714" w:type="pct"/>
            <w:shd w:val="clear" w:color="auto" w:fill="auto"/>
            <w:noWrap/>
            <w:hideMark/>
          </w:tcPr>
          <w:p w14:paraId="69656253" w14:textId="77777777" w:rsidR="001E40DC" w:rsidRPr="00350989" w:rsidRDefault="001E40DC" w:rsidP="000D7F61">
            <w:pPr>
              <w:spacing w:after="0"/>
              <w:rPr>
                <w:color w:val="000000"/>
                <w:sz w:val="20"/>
              </w:rPr>
            </w:pPr>
            <w:r w:rsidRPr="00350989">
              <w:rPr>
                <w:color w:val="000000"/>
                <w:sz w:val="20"/>
              </w:rPr>
              <w:t>1</w:t>
            </w:r>
          </w:p>
        </w:tc>
        <w:tc>
          <w:tcPr>
            <w:tcW w:w="819" w:type="pct"/>
            <w:shd w:val="clear" w:color="auto" w:fill="auto"/>
            <w:noWrap/>
            <w:hideMark/>
          </w:tcPr>
          <w:p w14:paraId="7179F12D" w14:textId="77777777" w:rsidR="001E40DC" w:rsidRPr="00350989" w:rsidRDefault="001E40DC" w:rsidP="000D7F61">
            <w:pPr>
              <w:spacing w:after="0"/>
              <w:rPr>
                <w:color w:val="000000"/>
                <w:sz w:val="20"/>
              </w:rPr>
            </w:pPr>
            <w:r w:rsidRPr="00350989">
              <w:rPr>
                <w:color w:val="000000"/>
                <w:sz w:val="20"/>
              </w:rPr>
              <w:t>2</w:t>
            </w:r>
          </w:p>
        </w:tc>
        <w:tc>
          <w:tcPr>
            <w:tcW w:w="893" w:type="pct"/>
            <w:shd w:val="clear" w:color="auto" w:fill="auto"/>
            <w:noWrap/>
            <w:hideMark/>
          </w:tcPr>
          <w:p w14:paraId="6E26422E" w14:textId="77777777" w:rsidR="001E40DC" w:rsidRPr="00350989" w:rsidRDefault="001E40DC" w:rsidP="000D7F61">
            <w:pPr>
              <w:spacing w:after="0"/>
              <w:rPr>
                <w:color w:val="000000"/>
                <w:sz w:val="20"/>
              </w:rPr>
            </w:pPr>
            <w:r w:rsidRPr="00350989">
              <w:rPr>
                <w:color w:val="000000"/>
                <w:sz w:val="20"/>
              </w:rPr>
              <w:t>3</w:t>
            </w:r>
          </w:p>
        </w:tc>
        <w:tc>
          <w:tcPr>
            <w:tcW w:w="803" w:type="pct"/>
            <w:shd w:val="clear" w:color="auto" w:fill="auto"/>
            <w:noWrap/>
            <w:hideMark/>
          </w:tcPr>
          <w:p w14:paraId="4CC5E236" w14:textId="77777777" w:rsidR="001E40DC" w:rsidRPr="00350989" w:rsidRDefault="001E40DC" w:rsidP="000D7F61">
            <w:pPr>
              <w:spacing w:after="0"/>
              <w:rPr>
                <w:color w:val="000000"/>
                <w:sz w:val="20"/>
              </w:rPr>
            </w:pPr>
            <w:r w:rsidRPr="00350989">
              <w:rPr>
                <w:color w:val="000000"/>
                <w:sz w:val="20"/>
              </w:rPr>
              <w:t>2</w:t>
            </w:r>
          </w:p>
        </w:tc>
      </w:tr>
      <w:tr w:rsidR="009672E6" w:rsidRPr="00350989" w14:paraId="06BC2560" w14:textId="77777777" w:rsidTr="0069684A">
        <w:trPr>
          <w:trHeight w:val="20"/>
        </w:trPr>
        <w:tc>
          <w:tcPr>
            <w:tcW w:w="1770" w:type="pct"/>
            <w:shd w:val="clear" w:color="auto" w:fill="auto"/>
            <w:noWrap/>
            <w:hideMark/>
          </w:tcPr>
          <w:p w14:paraId="097667AA" w14:textId="77777777" w:rsidR="001E40DC" w:rsidRPr="00350989" w:rsidRDefault="001E40DC" w:rsidP="000D7F61">
            <w:pPr>
              <w:spacing w:after="0"/>
              <w:rPr>
                <w:color w:val="000000"/>
                <w:sz w:val="20"/>
              </w:rPr>
            </w:pPr>
            <w:r w:rsidRPr="00350989">
              <w:rPr>
                <w:color w:val="000000"/>
                <w:sz w:val="20"/>
              </w:rPr>
              <w:t>Epilepsy</w:t>
            </w:r>
          </w:p>
        </w:tc>
        <w:tc>
          <w:tcPr>
            <w:tcW w:w="714" w:type="pct"/>
            <w:shd w:val="clear" w:color="auto" w:fill="auto"/>
            <w:noWrap/>
            <w:hideMark/>
          </w:tcPr>
          <w:p w14:paraId="1E7398FC" w14:textId="77777777" w:rsidR="001E40DC" w:rsidRPr="00350989" w:rsidRDefault="001E40DC" w:rsidP="000D7F61">
            <w:pPr>
              <w:spacing w:after="0"/>
              <w:rPr>
                <w:color w:val="000000"/>
                <w:sz w:val="20"/>
              </w:rPr>
            </w:pPr>
            <w:r w:rsidRPr="00350989">
              <w:rPr>
                <w:color w:val="000000"/>
                <w:sz w:val="20"/>
              </w:rPr>
              <w:t>0</w:t>
            </w:r>
          </w:p>
        </w:tc>
        <w:tc>
          <w:tcPr>
            <w:tcW w:w="819" w:type="pct"/>
            <w:shd w:val="clear" w:color="auto" w:fill="auto"/>
            <w:noWrap/>
            <w:hideMark/>
          </w:tcPr>
          <w:p w14:paraId="53C0C62D" w14:textId="77777777" w:rsidR="001E40DC" w:rsidRPr="00350989" w:rsidRDefault="001E40DC" w:rsidP="000D7F61">
            <w:pPr>
              <w:spacing w:after="0"/>
              <w:rPr>
                <w:color w:val="000000"/>
                <w:sz w:val="20"/>
              </w:rPr>
            </w:pPr>
            <w:r w:rsidRPr="00350989">
              <w:rPr>
                <w:color w:val="000000"/>
                <w:sz w:val="20"/>
              </w:rPr>
              <w:t>0</w:t>
            </w:r>
          </w:p>
        </w:tc>
        <w:tc>
          <w:tcPr>
            <w:tcW w:w="893" w:type="pct"/>
            <w:shd w:val="clear" w:color="auto" w:fill="auto"/>
            <w:noWrap/>
            <w:hideMark/>
          </w:tcPr>
          <w:p w14:paraId="257F82E4" w14:textId="77777777" w:rsidR="001E40DC" w:rsidRPr="00350989" w:rsidRDefault="001E40DC" w:rsidP="000D7F61">
            <w:pPr>
              <w:spacing w:after="0"/>
              <w:rPr>
                <w:color w:val="000000"/>
                <w:sz w:val="20"/>
              </w:rPr>
            </w:pPr>
            <w:r w:rsidRPr="00350989">
              <w:rPr>
                <w:color w:val="000000"/>
                <w:sz w:val="20"/>
              </w:rPr>
              <w:t>1</w:t>
            </w:r>
          </w:p>
        </w:tc>
        <w:tc>
          <w:tcPr>
            <w:tcW w:w="803" w:type="pct"/>
            <w:shd w:val="clear" w:color="auto" w:fill="auto"/>
            <w:noWrap/>
            <w:hideMark/>
          </w:tcPr>
          <w:p w14:paraId="27CD36CD" w14:textId="77777777" w:rsidR="001E40DC" w:rsidRPr="00350989" w:rsidRDefault="001E40DC" w:rsidP="000D7F61">
            <w:pPr>
              <w:spacing w:after="0"/>
              <w:rPr>
                <w:color w:val="000000"/>
                <w:sz w:val="20"/>
              </w:rPr>
            </w:pPr>
            <w:r w:rsidRPr="00350989">
              <w:rPr>
                <w:color w:val="000000"/>
                <w:sz w:val="20"/>
              </w:rPr>
              <w:t>1</w:t>
            </w:r>
          </w:p>
        </w:tc>
      </w:tr>
      <w:tr w:rsidR="009672E6" w:rsidRPr="00350989" w14:paraId="667B79B5" w14:textId="77777777" w:rsidTr="0069684A">
        <w:trPr>
          <w:trHeight w:val="20"/>
        </w:trPr>
        <w:tc>
          <w:tcPr>
            <w:tcW w:w="1770" w:type="pct"/>
            <w:shd w:val="clear" w:color="auto" w:fill="auto"/>
            <w:noWrap/>
            <w:hideMark/>
          </w:tcPr>
          <w:p w14:paraId="7AF2919D" w14:textId="77777777" w:rsidR="001E40DC" w:rsidRPr="00350989" w:rsidRDefault="001E40DC" w:rsidP="000D7F61">
            <w:pPr>
              <w:spacing w:after="0"/>
              <w:rPr>
                <w:b/>
                <w:color w:val="000000"/>
                <w:sz w:val="20"/>
              </w:rPr>
            </w:pPr>
            <w:r w:rsidRPr="00350989">
              <w:rPr>
                <w:b/>
                <w:color w:val="000000"/>
                <w:sz w:val="20"/>
              </w:rPr>
              <w:t>Total</w:t>
            </w:r>
          </w:p>
        </w:tc>
        <w:tc>
          <w:tcPr>
            <w:tcW w:w="714" w:type="pct"/>
            <w:shd w:val="clear" w:color="auto" w:fill="auto"/>
            <w:noWrap/>
            <w:hideMark/>
          </w:tcPr>
          <w:p w14:paraId="46C927A6" w14:textId="77777777" w:rsidR="001E40DC" w:rsidRPr="00350989" w:rsidRDefault="001E40DC" w:rsidP="000D7F61">
            <w:pPr>
              <w:spacing w:after="0"/>
              <w:rPr>
                <w:b/>
                <w:color w:val="000000"/>
                <w:sz w:val="20"/>
              </w:rPr>
            </w:pPr>
            <w:r w:rsidRPr="00350989">
              <w:rPr>
                <w:b/>
                <w:color w:val="000000"/>
                <w:sz w:val="20"/>
              </w:rPr>
              <w:t>1</w:t>
            </w:r>
          </w:p>
        </w:tc>
        <w:tc>
          <w:tcPr>
            <w:tcW w:w="819" w:type="pct"/>
            <w:shd w:val="clear" w:color="auto" w:fill="auto"/>
            <w:noWrap/>
            <w:hideMark/>
          </w:tcPr>
          <w:p w14:paraId="2E02EFA3" w14:textId="77777777" w:rsidR="001E40DC" w:rsidRPr="00350989" w:rsidRDefault="001E40DC" w:rsidP="000D7F61">
            <w:pPr>
              <w:spacing w:after="0"/>
              <w:rPr>
                <w:b/>
                <w:color w:val="000000"/>
                <w:sz w:val="20"/>
              </w:rPr>
            </w:pPr>
            <w:r w:rsidRPr="00350989">
              <w:rPr>
                <w:b/>
                <w:color w:val="000000"/>
                <w:sz w:val="20"/>
              </w:rPr>
              <w:t>3</w:t>
            </w:r>
          </w:p>
        </w:tc>
        <w:tc>
          <w:tcPr>
            <w:tcW w:w="893" w:type="pct"/>
            <w:shd w:val="clear" w:color="auto" w:fill="auto"/>
            <w:noWrap/>
            <w:hideMark/>
          </w:tcPr>
          <w:p w14:paraId="41AFFC02" w14:textId="77777777" w:rsidR="001E40DC" w:rsidRPr="00350989" w:rsidRDefault="001E40DC" w:rsidP="000D7F61">
            <w:pPr>
              <w:spacing w:after="0"/>
              <w:rPr>
                <w:b/>
                <w:color w:val="000000"/>
                <w:sz w:val="20"/>
              </w:rPr>
            </w:pPr>
            <w:r w:rsidRPr="00350989">
              <w:rPr>
                <w:b/>
                <w:color w:val="000000"/>
                <w:sz w:val="20"/>
              </w:rPr>
              <w:t>6</w:t>
            </w:r>
          </w:p>
        </w:tc>
        <w:tc>
          <w:tcPr>
            <w:tcW w:w="803" w:type="pct"/>
            <w:shd w:val="clear" w:color="auto" w:fill="auto"/>
            <w:noWrap/>
            <w:hideMark/>
          </w:tcPr>
          <w:p w14:paraId="1763B09F" w14:textId="77777777" w:rsidR="001E40DC" w:rsidRPr="00350989" w:rsidRDefault="001E40DC" w:rsidP="000D7F61">
            <w:pPr>
              <w:spacing w:after="0"/>
              <w:rPr>
                <w:b/>
                <w:color w:val="000000"/>
                <w:sz w:val="20"/>
              </w:rPr>
            </w:pPr>
            <w:r w:rsidRPr="00350989">
              <w:rPr>
                <w:b/>
                <w:color w:val="000000"/>
                <w:sz w:val="20"/>
              </w:rPr>
              <w:t>5</w:t>
            </w:r>
          </w:p>
        </w:tc>
      </w:tr>
    </w:tbl>
    <w:p w14:paraId="5BDB8E7B" w14:textId="4220D619" w:rsidR="00957F11" w:rsidRPr="00350989" w:rsidRDefault="00957F11" w:rsidP="000D7F61">
      <w:pPr>
        <w:spacing w:after="0"/>
      </w:pPr>
    </w:p>
    <w:sectPr w:rsidR="00957F11" w:rsidRPr="00350989" w:rsidSect="003232CD">
      <w:headerReference w:type="default" r:id="rId29"/>
      <w:footerReference w:type="default" r:id="rId30"/>
      <w:pgSz w:w="11906" w:h="16838"/>
      <w:pgMar w:top="1985"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CC3C8" w14:textId="77777777" w:rsidR="00185E73" w:rsidRDefault="00185E73" w:rsidP="00AF323E">
      <w:r>
        <w:separator/>
      </w:r>
    </w:p>
  </w:endnote>
  <w:endnote w:type="continuationSeparator" w:id="0">
    <w:p w14:paraId="64B078EA" w14:textId="77777777" w:rsidR="00185E73" w:rsidRDefault="00185E73" w:rsidP="00AF323E">
      <w:r>
        <w:continuationSeparator/>
      </w:r>
    </w:p>
  </w:endnote>
  <w:endnote w:type="continuationNotice" w:id="1">
    <w:p w14:paraId="7A6B8E7D" w14:textId="77777777" w:rsidR="00185E73" w:rsidRDefault="00185E7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roman"/>
    <w:notTrueType/>
    <w:pitch w:val="default"/>
  </w:font>
  <w:font w:name="BookAntiqua">
    <w:altName w:val="MS Mincho"/>
    <w:panose1 w:val="00000000000000000000"/>
    <w:charset w:val="80"/>
    <w:family w:val="auto"/>
    <w:notTrueType/>
    <w:pitch w:val="default"/>
    <w:sig w:usb0="00000003" w:usb1="08070000" w:usb2="00000010" w:usb3="00000000" w:csb0="00020001" w:csb1="00000000"/>
  </w:font>
  <w:font w:name="等线 Light">
    <w:panose1 w:val="00000000000000000000"/>
    <w:charset w:val="86"/>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22C1D" w14:textId="15BBFC2D" w:rsidR="00185E73" w:rsidRDefault="00185E73">
    <w:pPr>
      <w:pStyle w:val="Footer"/>
      <w:jc w:val="center"/>
    </w:pPr>
    <w:r>
      <w:fldChar w:fldCharType="begin"/>
    </w:r>
    <w:r>
      <w:instrText xml:space="preserve"> PAGE   \* MERGEFORMAT </w:instrText>
    </w:r>
    <w:r>
      <w:fldChar w:fldCharType="separate"/>
    </w:r>
    <w:r w:rsidR="003E4D02">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2788D" w14:textId="77777777" w:rsidR="00185E73" w:rsidRDefault="00185E73" w:rsidP="00CA0B34">
      <w:pPr>
        <w:spacing w:after="0"/>
      </w:pPr>
      <w:r>
        <w:separator/>
      </w:r>
    </w:p>
  </w:footnote>
  <w:footnote w:type="continuationSeparator" w:id="0">
    <w:p w14:paraId="0F09B751" w14:textId="77777777" w:rsidR="00185E73" w:rsidRDefault="00185E73" w:rsidP="00CA0B34">
      <w:pPr>
        <w:spacing w:after="0"/>
      </w:pPr>
      <w:r>
        <w:continuationSeparator/>
      </w:r>
    </w:p>
  </w:footnote>
  <w:footnote w:type="continuationNotice" w:id="1">
    <w:p w14:paraId="2A3B73FC" w14:textId="77777777" w:rsidR="00185E73" w:rsidRPr="00984A47" w:rsidRDefault="00185E73">
      <w:pPr>
        <w:spacing w:after="0"/>
        <w:rPr>
          <w:sz w:val="2"/>
          <w:szCs w:val="2"/>
        </w:rPr>
      </w:pPr>
    </w:p>
  </w:footnote>
  <w:footnote w:id="2">
    <w:p w14:paraId="45713C26" w14:textId="0147DC2B" w:rsidR="00185E73" w:rsidRPr="00395593" w:rsidRDefault="00185E73" w:rsidP="00395593">
      <w:pPr>
        <w:pStyle w:val="FootnoteText"/>
        <w:spacing w:after="0"/>
        <w:ind w:left="284" w:hanging="284"/>
        <w:rPr>
          <w:rFonts w:cs="Arial"/>
        </w:rPr>
      </w:pPr>
      <w:r w:rsidRPr="00395593">
        <w:rPr>
          <w:rStyle w:val="FootnoteReference"/>
          <w:rFonts w:cs="Arial"/>
        </w:rPr>
        <w:footnoteRef/>
      </w:r>
      <w:r w:rsidRPr="00395593">
        <w:rPr>
          <w:rFonts w:cs="Arial"/>
        </w:rPr>
        <w:t xml:space="preserve"> </w:t>
      </w:r>
      <w:r>
        <w:rPr>
          <w:rFonts w:cs="Arial"/>
        </w:rPr>
        <w:tab/>
      </w:r>
      <w:r w:rsidRPr="00395593">
        <w:rPr>
          <w:rFonts w:cs="Arial"/>
          <w:lang w:val="en-US"/>
        </w:rPr>
        <w:t xml:space="preserve">Liasidou, A and </w:t>
      </w:r>
      <w:proofErr w:type="spellStart"/>
      <w:r w:rsidRPr="00395593">
        <w:rPr>
          <w:rFonts w:cs="Arial"/>
          <w:lang w:val="en-US"/>
        </w:rPr>
        <w:t>Symeou</w:t>
      </w:r>
      <w:proofErr w:type="spellEnd"/>
      <w:r w:rsidRPr="00395593">
        <w:rPr>
          <w:rFonts w:cs="Arial"/>
          <w:lang w:val="en-US"/>
        </w:rPr>
        <w:t xml:space="preserve">, L (2016) Neoliberal versus Social Justice Reforms in Education Policy and Practice: Discourses, Politics and Disability Rights. Critical Studies in Education </w:t>
      </w:r>
      <w:r w:rsidRPr="00395593">
        <w:rPr>
          <w:rStyle w:val="Strong"/>
          <w:rFonts w:cs="Arial"/>
          <w:b w:val="0"/>
          <w:color w:val="000000"/>
        </w:rPr>
        <w:t>DOI</w:t>
      </w:r>
      <w:r w:rsidRPr="00395593">
        <w:rPr>
          <w:rStyle w:val="Strong"/>
          <w:rFonts w:cs="Arial"/>
          <w:color w:val="000000"/>
        </w:rPr>
        <w:t>:</w:t>
      </w:r>
      <w:r w:rsidRPr="00395593">
        <w:rPr>
          <w:rFonts w:cs="Arial"/>
          <w:color w:val="000000"/>
        </w:rPr>
        <w:t xml:space="preserve"> 10.1080/17508487.2016.1186102.</w:t>
      </w:r>
    </w:p>
  </w:footnote>
  <w:footnote w:id="3">
    <w:p w14:paraId="282C13D0" w14:textId="77777777" w:rsidR="00185E73" w:rsidRPr="00395593" w:rsidRDefault="00185E73" w:rsidP="00395593">
      <w:pPr>
        <w:pStyle w:val="FootnoteText"/>
        <w:spacing w:after="0"/>
        <w:ind w:left="284" w:hanging="284"/>
        <w:rPr>
          <w:rFonts w:cs="Arial"/>
        </w:rPr>
      </w:pPr>
      <w:r w:rsidRPr="00395593">
        <w:rPr>
          <w:rStyle w:val="FootnoteReference"/>
          <w:rFonts w:cs="Arial"/>
        </w:rPr>
        <w:footnoteRef/>
      </w:r>
      <w:r w:rsidRPr="00395593">
        <w:rPr>
          <w:rFonts w:cs="Arial"/>
        </w:rPr>
        <w:t xml:space="preserve"> </w:t>
      </w:r>
      <w:r w:rsidRPr="00395593">
        <w:rPr>
          <w:rFonts w:cs="Arial"/>
        </w:rPr>
        <w:tab/>
        <w:t xml:space="preserve">Liasidou, A (2013): The cross-fertilization of critical race theory and Disability Studies: points of convergence/ divergence and some education policy implications, </w:t>
      </w:r>
      <w:r w:rsidRPr="00395593">
        <w:rPr>
          <w:rFonts w:cs="Arial"/>
          <w:i/>
        </w:rPr>
        <w:t>Disability &amp; Society</w:t>
      </w:r>
      <w:r w:rsidRPr="00395593">
        <w:rPr>
          <w:rFonts w:cs="Arial"/>
        </w:rPr>
        <w:t>, DOI: 10.1080/09687599.2013.844104.</w:t>
      </w:r>
    </w:p>
  </w:footnote>
  <w:footnote w:id="4">
    <w:p w14:paraId="3E00D52D" w14:textId="77777777" w:rsidR="00185E73" w:rsidRPr="00395593" w:rsidRDefault="00185E73" w:rsidP="00395593">
      <w:pPr>
        <w:pStyle w:val="FootnoteText"/>
        <w:spacing w:after="0"/>
        <w:ind w:left="284" w:hanging="284"/>
        <w:rPr>
          <w:rFonts w:cs="Arial"/>
        </w:rPr>
      </w:pPr>
      <w:r w:rsidRPr="00395593">
        <w:rPr>
          <w:rStyle w:val="FootnoteReference"/>
          <w:rFonts w:cs="Arial"/>
        </w:rPr>
        <w:footnoteRef/>
      </w:r>
      <w:r w:rsidRPr="00395593">
        <w:rPr>
          <w:rFonts w:cs="Arial"/>
        </w:rPr>
        <w:t xml:space="preserve"> </w:t>
      </w:r>
      <w:r w:rsidRPr="00395593">
        <w:rPr>
          <w:rFonts w:cs="Arial"/>
        </w:rPr>
        <w:tab/>
      </w:r>
      <w:proofErr w:type="spellStart"/>
      <w:r w:rsidRPr="00395593">
        <w:rPr>
          <w:rFonts w:cs="Arial"/>
          <w:lang w:val="en-US"/>
        </w:rPr>
        <w:t>Damianidou</w:t>
      </w:r>
      <w:proofErr w:type="spellEnd"/>
      <w:r w:rsidRPr="00395593">
        <w:rPr>
          <w:rFonts w:cs="Arial"/>
          <w:lang w:val="en-US"/>
        </w:rPr>
        <w:t xml:space="preserve">, E. and </w:t>
      </w:r>
      <w:proofErr w:type="spellStart"/>
      <w:r w:rsidRPr="00395593">
        <w:rPr>
          <w:rFonts w:cs="Arial"/>
          <w:lang w:val="en-US"/>
        </w:rPr>
        <w:t>Phtiaka</w:t>
      </w:r>
      <w:proofErr w:type="spellEnd"/>
      <w:r w:rsidRPr="00395593">
        <w:rPr>
          <w:rFonts w:cs="Arial"/>
          <w:lang w:val="en-US"/>
        </w:rPr>
        <w:t>, E. (2010)</w:t>
      </w:r>
      <w:r w:rsidRPr="00395593">
        <w:rPr>
          <w:rFonts w:cs="Arial"/>
        </w:rPr>
        <w:t xml:space="preserve"> </w:t>
      </w:r>
      <w:r w:rsidRPr="00395593">
        <w:rPr>
          <w:rFonts w:cs="Arial"/>
          <w:lang w:val="en-US"/>
        </w:rPr>
        <w:t>The vocational rehabilitation of disabled persons in Cyprus and the role of the School</w:t>
      </w:r>
      <w:r w:rsidRPr="00395593">
        <w:rPr>
          <w:rFonts w:cs="Arial"/>
          <w:bCs/>
        </w:rPr>
        <w:t xml:space="preserve"> PEK Conference (Cyprus Pedagogical Association), University of Cyprus, 8-9 June 2012</w:t>
      </w:r>
      <w:r w:rsidRPr="00395593">
        <w:rPr>
          <w:rFonts w:cs="Arial"/>
          <w:bCs/>
          <w:lang w:val="en-GB"/>
        </w:rPr>
        <w:t>.</w:t>
      </w:r>
    </w:p>
  </w:footnote>
  <w:footnote w:id="5">
    <w:p w14:paraId="40FEE52E" w14:textId="72742A67" w:rsidR="00185E73" w:rsidRPr="00395593" w:rsidRDefault="00185E73" w:rsidP="00395593">
      <w:pPr>
        <w:pStyle w:val="FootnoteText"/>
        <w:spacing w:after="0"/>
        <w:ind w:left="284" w:hanging="284"/>
        <w:rPr>
          <w:rFonts w:cs="Arial"/>
        </w:rPr>
      </w:pPr>
      <w:r w:rsidRPr="00395593">
        <w:rPr>
          <w:rStyle w:val="FootnoteReference"/>
          <w:rFonts w:cs="Arial"/>
        </w:rPr>
        <w:footnoteRef/>
      </w:r>
      <w:r w:rsidRPr="00395593">
        <w:rPr>
          <w:rFonts w:cs="Arial"/>
        </w:rPr>
        <w:t xml:space="preserve"> </w:t>
      </w:r>
      <w:r w:rsidRPr="00395593">
        <w:rPr>
          <w:rFonts w:cs="Arial"/>
        </w:rPr>
        <w:tab/>
        <w:t>The Commissioner for Administration and Human Rights (Ombudsman)</w:t>
      </w:r>
      <w:r w:rsidRPr="00395593">
        <w:rPr>
          <w:rFonts w:cs="Arial"/>
          <w:lang w:val="en-GB"/>
        </w:rPr>
        <w:t xml:space="preserve">, Available at: </w:t>
      </w:r>
      <w:hyperlink r:id="rId1" w:anchor="sthash.Gj1GObjq.dpu" w:history="1">
        <w:r w:rsidRPr="00395593">
          <w:rPr>
            <w:rStyle w:val="Hyperlink"/>
            <w:rFonts w:cs="Arial"/>
          </w:rPr>
          <w:t>http://www.ombudsman.gov.cy/ombudsman/ombudsman.nsf/index_en/index_en?opendocument#sthash.Gj1GObjq.dpu</w:t>
        </w:r>
      </w:hyperlink>
      <w:r w:rsidRPr="00395593">
        <w:rPr>
          <w:rFonts w:cs="Arial"/>
          <w:lang w:val="en-GB"/>
        </w:rPr>
        <w:t>.</w:t>
      </w:r>
    </w:p>
  </w:footnote>
  <w:footnote w:id="6">
    <w:p w14:paraId="0DAAFAA5" w14:textId="77777777" w:rsidR="00185E73" w:rsidRPr="00395593" w:rsidRDefault="00185E73" w:rsidP="00395593">
      <w:pPr>
        <w:pStyle w:val="FootnoteText"/>
        <w:spacing w:after="0"/>
        <w:ind w:left="284" w:hanging="284"/>
        <w:rPr>
          <w:rFonts w:cs="Arial"/>
          <w:lang w:val="el-GR"/>
        </w:rPr>
      </w:pPr>
      <w:r w:rsidRPr="00395593">
        <w:rPr>
          <w:rStyle w:val="FootnoteReference"/>
          <w:rFonts w:cs="Arial"/>
        </w:rPr>
        <w:footnoteRef/>
      </w:r>
      <w:r w:rsidRPr="00395593">
        <w:rPr>
          <w:rFonts w:cs="Arial"/>
          <w:lang w:val="el-GR"/>
        </w:rPr>
        <w:t xml:space="preserve"> </w:t>
      </w:r>
      <w:r w:rsidRPr="00395593">
        <w:rPr>
          <w:rFonts w:cs="Arial"/>
          <w:lang w:val="el-GR"/>
        </w:rPr>
        <w:tab/>
      </w:r>
      <w:hyperlink r:id="rId2" w:history="1">
        <w:r w:rsidRPr="00395593">
          <w:rPr>
            <w:rStyle w:val="Hyperlink"/>
            <w:rFonts w:cs="Arial"/>
          </w:rPr>
          <w:t>http</w:t>
        </w:r>
        <w:r w:rsidRPr="00395593">
          <w:rPr>
            <w:rStyle w:val="Hyperlink"/>
            <w:rFonts w:cs="Arial"/>
            <w:lang w:val="el-GR"/>
          </w:rPr>
          <w:t>://</w:t>
        </w:r>
        <w:r w:rsidRPr="00395593">
          <w:rPr>
            <w:rStyle w:val="Hyperlink"/>
            <w:rFonts w:cs="Arial"/>
          </w:rPr>
          <w:t>ec</w:t>
        </w:r>
        <w:r w:rsidRPr="00395593">
          <w:rPr>
            <w:rStyle w:val="Hyperlink"/>
            <w:rFonts w:cs="Arial"/>
            <w:lang w:val="el-GR"/>
          </w:rPr>
          <w:t>.</w:t>
        </w:r>
        <w:r w:rsidRPr="00395593">
          <w:rPr>
            <w:rStyle w:val="Hyperlink"/>
            <w:rFonts w:cs="Arial"/>
          </w:rPr>
          <w:t>europa</w:t>
        </w:r>
        <w:r w:rsidRPr="00395593">
          <w:rPr>
            <w:rStyle w:val="Hyperlink"/>
            <w:rFonts w:cs="Arial"/>
            <w:lang w:val="el-GR"/>
          </w:rPr>
          <w:t>.</w:t>
        </w:r>
        <w:r w:rsidRPr="00395593">
          <w:rPr>
            <w:rStyle w:val="Hyperlink"/>
            <w:rFonts w:cs="Arial"/>
          </w:rPr>
          <w:t>eu</w:t>
        </w:r>
        <w:r w:rsidRPr="00395593">
          <w:rPr>
            <w:rStyle w:val="Hyperlink"/>
            <w:rFonts w:cs="Arial"/>
            <w:lang w:val="el-GR"/>
          </w:rPr>
          <w:t>/</w:t>
        </w:r>
        <w:r w:rsidRPr="00395593">
          <w:rPr>
            <w:rStyle w:val="Hyperlink"/>
            <w:rFonts w:cs="Arial"/>
          </w:rPr>
          <w:t>europe</w:t>
        </w:r>
        <w:r w:rsidRPr="00395593">
          <w:rPr>
            <w:rStyle w:val="Hyperlink"/>
            <w:rFonts w:cs="Arial"/>
            <w:lang w:val="el-GR"/>
          </w:rPr>
          <w:t>2020/</w:t>
        </w:r>
        <w:r w:rsidRPr="00395593">
          <w:rPr>
            <w:rStyle w:val="Hyperlink"/>
            <w:rFonts w:cs="Arial"/>
          </w:rPr>
          <w:t>pdf</w:t>
        </w:r>
        <w:r w:rsidRPr="00395593">
          <w:rPr>
            <w:rStyle w:val="Hyperlink"/>
            <w:rFonts w:cs="Arial"/>
            <w:lang w:val="el-GR"/>
          </w:rPr>
          <w:t>/</w:t>
        </w:r>
        <w:r w:rsidRPr="00395593">
          <w:rPr>
            <w:rStyle w:val="Hyperlink"/>
            <w:rFonts w:cs="Arial"/>
          </w:rPr>
          <w:t>targets</w:t>
        </w:r>
        <w:r w:rsidRPr="00395593">
          <w:rPr>
            <w:rStyle w:val="Hyperlink"/>
            <w:rFonts w:cs="Arial"/>
            <w:lang w:val="el-GR"/>
          </w:rPr>
          <w:t>_</w:t>
        </w:r>
        <w:r w:rsidRPr="00395593">
          <w:rPr>
            <w:rStyle w:val="Hyperlink"/>
            <w:rFonts w:cs="Arial"/>
          </w:rPr>
          <w:t>en</w:t>
        </w:r>
        <w:r w:rsidRPr="00395593">
          <w:rPr>
            <w:rStyle w:val="Hyperlink"/>
            <w:rFonts w:cs="Arial"/>
            <w:lang w:val="el-GR"/>
          </w:rPr>
          <w:t>.</w:t>
        </w:r>
        <w:r w:rsidRPr="00395593">
          <w:rPr>
            <w:rStyle w:val="Hyperlink"/>
            <w:rFonts w:cs="Arial"/>
          </w:rPr>
          <w:t>pdf</w:t>
        </w:r>
      </w:hyperlink>
      <w:r w:rsidRPr="00395593">
        <w:rPr>
          <w:rStyle w:val="Hyperlink"/>
          <w:rFonts w:cs="Arial"/>
          <w:color w:val="auto"/>
          <w:u w:val="none"/>
          <w:lang w:val="el-GR"/>
        </w:rPr>
        <w:t>.</w:t>
      </w:r>
      <w:r w:rsidRPr="00395593">
        <w:rPr>
          <w:rStyle w:val="Hyperlink"/>
          <w:rFonts w:cs="Arial"/>
          <w:lang w:val="el-GR"/>
        </w:rPr>
        <w:t xml:space="preserve"> </w:t>
      </w:r>
    </w:p>
  </w:footnote>
  <w:footnote w:id="7">
    <w:p w14:paraId="735E32C0" w14:textId="15BA6C8E" w:rsidR="00185E73" w:rsidRPr="00395593" w:rsidRDefault="00185E73" w:rsidP="00395593">
      <w:pPr>
        <w:pStyle w:val="FootnoteText"/>
        <w:spacing w:after="0"/>
        <w:ind w:left="284" w:hanging="284"/>
        <w:rPr>
          <w:rFonts w:cs="Arial"/>
        </w:rPr>
      </w:pPr>
      <w:r w:rsidRPr="00395593">
        <w:rPr>
          <w:rStyle w:val="FootnoteReference"/>
          <w:rFonts w:cs="Arial"/>
        </w:rPr>
        <w:footnoteRef/>
      </w:r>
      <w:r w:rsidRPr="00395593">
        <w:rPr>
          <w:rFonts w:cs="Arial"/>
        </w:rPr>
        <w:t xml:space="preserve"> </w:t>
      </w:r>
      <w:r w:rsidRPr="00395593">
        <w:rPr>
          <w:rFonts w:cs="Arial"/>
        </w:rPr>
        <w:tab/>
        <w:t xml:space="preserve">Cyprus National Disability Action Plan (2013-2015). </w:t>
      </w:r>
      <w:r w:rsidRPr="00395593">
        <w:rPr>
          <w:rFonts w:cs="Arial"/>
        </w:rPr>
        <w:t xml:space="preserve">Available at </w:t>
      </w:r>
      <w:r>
        <w:fldChar w:fldCharType="begin"/>
      </w:r>
      <w:r>
        <w:instrText xml:space="preserve"> HYPERLINK "http://www.mlsi.gov.cy/mlsi/dsid/dsid.nsf/dsipd08_en/dsipd08_en?OpenDocument" </w:instrText>
      </w:r>
      <w:r>
        <w:fldChar w:fldCharType="separate"/>
      </w:r>
      <w:r w:rsidRPr="00395593">
        <w:rPr>
          <w:rStyle w:val="Hyperlink"/>
          <w:rFonts w:cs="Arial"/>
        </w:rPr>
        <w:t>http://www.mlsi.gov.cy/mlsi/dsid/dsid.nsf/dsipd08_en/dsipd08_en?OpenDocument</w:t>
      </w:r>
      <w:r>
        <w:rPr>
          <w:rStyle w:val="Hyperlink"/>
          <w:rFonts w:cs="Arial"/>
        </w:rPr>
        <w:fldChar w:fldCharType="end"/>
      </w:r>
      <w:r w:rsidRPr="00395593">
        <w:rPr>
          <w:rFonts w:cs="Arial"/>
          <w:lang w:val="en-GB"/>
        </w:rPr>
        <w:t xml:space="preserve"> (link to document in English: </w:t>
      </w:r>
      <w:hyperlink r:id="rId3" w:history="1">
        <w:r w:rsidRPr="00395593">
          <w:rPr>
            <w:rStyle w:val="Hyperlink"/>
            <w:rFonts w:cs="Arial"/>
          </w:rPr>
          <w:t>http://www.mlsi.gov.cy/mlsi/dsid/dsid.nsf/A8A5F20B4E23E622C2257A7C002CEBC5/$file/Disability%20National%20Action%20Plan%202013-2015.doc</w:t>
        </w:r>
      </w:hyperlink>
      <w:r w:rsidRPr="00395593">
        <w:rPr>
          <w:rFonts w:cs="Arial"/>
          <w:lang w:val="en-GB"/>
        </w:rPr>
        <w:t>).</w:t>
      </w:r>
    </w:p>
  </w:footnote>
  <w:footnote w:id="8">
    <w:p w14:paraId="7FCDF365" w14:textId="71B4359E" w:rsidR="00185E73" w:rsidRPr="00395593" w:rsidRDefault="00185E73" w:rsidP="00395593">
      <w:pPr>
        <w:pStyle w:val="FootnoteText"/>
        <w:spacing w:after="0"/>
        <w:ind w:left="284" w:hanging="284"/>
        <w:rPr>
          <w:rFonts w:cs="Arial"/>
        </w:rPr>
      </w:pPr>
      <w:r w:rsidRPr="00395593">
        <w:rPr>
          <w:rStyle w:val="FootnoteReference"/>
          <w:rFonts w:cs="Arial"/>
        </w:rPr>
        <w:footnoteRef/>
      </w:r>
      <w:r w:rsidRPr="00395593">
        <w:rPr>
          <w:rFonts w:cs="Arial"/>
        </w:rPr>
        <w:t xml:space="preserve"> </w:t>
      </w:r>
      <w:r w:rsidRPr="00395593">
        <w:rPr>
          <w:rFonts w:cs="Arial"/>
        </w:rPr>
        <w:tab/>
        <w:t>Cyprus National Reform Programme 201</w:t>
      </w:r>
      <w:r w:rsidRPr="00395593">
        <w:rPr>
          <w:rFonts w:cs="Arial"/>
          <w:lang w:val="en-GB"/>
        </w:rPr>
        <w:t>6</w:t>
      </w:r>
      <w:r w:rsidRPr="00395593">
        <w:rPr>
          <w:rFonts w:cs="Arial"/>
        </w:rPr>
        <w:t xml:space="preserve">, Europe 2020, Available at: </w:t>
      </w:r>
      <w:hyperlink r:id="rId4" w:history="1">
        <w:r w:rsidRPr="00395593">
          <w:rPr>
            <w:rStyle w:val="Hyperlink"/>
            <w:rFonts w:cs="Arial"/>
          </w:rPr>
          <w:t>http://ec.europa.eu/europe2020/pdf/csr2016/nrp2016_cyprus_en.pdf</w:t>
        </w:r>
      </w:hyperlink>
      <w:r w:rsidRPr="00395593">
        <w:rPr>
          <w:rFonts w:cs="Arial"/>
          <w:lang w:val="en-GB"/>
        </w:rPr>
        <w:t>.</w:t>
      </w:r>
      <w:r w:rsidRPr="00395593">
        <w:rPr>
          <w:rFonts w:cs="Arial"/>
        </w:rPr>
        <w:tab/>
      </w:r>
    </w:p>
  </w:footnote>
  <w:footnote w:id="9">
    <w:p w14:paraId="1AFF6F71" w14:textId="454AC25A" w:rsidR="00185E73" w:rsidRPr="00395593" w:rsidRDefault="00185E73" w:rsidP="00395593">
      <w:pPr>
        <w:pStyle w:val="FootnoteText"/>
        <w:spacing w:after="0"/>
        <w:ind w:left="284" w:hanging="284"/>
        <w:rPr>
          <w:rFonts w:cs="Arial"/>
          <w:lang w:val="en-GB"/>
        </w:rPr>
      </w:pPr>
      <w:r w:rsidRPr="00395593">
        <w:rPr>
          <w:rStyle w:val="FootnoteReference"/>
          <w:rFonts w:cs="Arial"/>
        </w:rPr>
        <w:footnoteRef/>
      </w:r>
      <w:r w:rsidRPr="00395593">
        <w:rPr>
          <w:rFonts w:cs="Arial"/>
        </w:rPr>
        <w:t xml:space="preserve"> </w:t>
      </w:r>
      <w:r w:rsidRPr="00395593">
        <w:rPr>
          <w:rFonts w:cs="Arial"/>
        </w:rPr>
        <w:tab/>
      </w:r>
      <w:r w:rsidRPr="00395593">
        <w:rPr>
          <w:rFonts w:cs="Arial"/>
          <w:lang w:val="en-GB"/>
        </w:rPr>
        <w:t xml:space="preserve">Cyprus Ministry of Finance, Stability Programme 2016-2019. Available at: </w:t>
      </w:r>
      <w:hyperlink r:id="rId5" w:history="1">
        <w:r w:rsidRPr="00395593">
          <w:rPr>
            <w:rStyle w:val="Hyperlink"/>
            <w:rFonts w:cs="Arial"/>
            <w:lang w:val="en-GB"/>
          </w:rPr>
          <w:t>http://ec.europa.eu/europe2020/pdf/csr2016/sp2016_cyprus_en.pdf</w:t>
        </w:r>
      </w:hyperlink>
      <w:r w:rsidRPr="00395593">
        <w:rPr>
          <w:rFonts w:cs="Arial"/>
          <w:lang w:val="en-GB"/>
        </w:rPr>
        <w:t>.</w:t>
      </w:r>
    </w:p>
  </w:footnote>
  <w:footnote w:id="10">
    <w:p w14:paraId="5462FE5E" w14:textId="473F94DD" w:rsidR="00185E73" w:rsidRPr="00395593" w:rsidRDefault="00185E73" w:rsidP="00395593">
      <w:pPr>
        <w:pStyle w:val="FootnoteText"/>
        <w:spacing w:after="0"/>
        <w:ind w:left="284" w:hanging="284"/>
        <w:rPr>
          <w:rFonts w:cs="Arial"/>
          <w:color w:val="0000FF"/>
          <w:u w:val="single"/>
          <w:lang w:val="en-GB"/>
        </w:rPr>
      </w:pPr>
      <w:r w:rsidRPr="00395593">
        <w:rPr>
          <w:rStyle w:val="FootnoteReference"/>
          <w:rFonts w:cs="Arial"/>
        </w:rPr>
        <w:footnoteRef/>
      </w:r>
      <w:r w:rsidRPr="00395593">
        <w:rPr>
          <w:rFonts w:cs="Arial"/>
        </w:rPr>
        <w:t xml:space="preserve"> </w:t>
      </w:r>
      <w:r w:rsidRPr="00395593">
        <w:rPr>
          <w:rFonts w:cs="Arial"/>
        </w:rPr>
        <w:tab/>
        <w:t xml:space="preserve">COMMISSION STAFF WORKING DOCUMENT Country Report Cyprus 2016, Available at </w:t>
      </w:r>
      <w:hyperlink r:id="rId6" w:history="1">
        <w:r w:rsidRPr="00395593">
          <w:rPr>
            <w:rStyle w:val="Hyperlink"/>
            <w:rFonts w:cs="Arial"/>
          </w:rPr>
          <w:t>http://ec.europa.eu/europe2020/pdf/csr2016/cr2016_cyprus_en.pdf</w:t>
        </w:r>
      </w:hyperlink>
      <w:r w:rsidRPr="00395593">
        <w:rPr>
          <w:rFonts w:cs="Arial"/>
          <w:lang w:val="en-GB"/>
        </w:rPr>
        <w:t>.</w:t>
      </w:r>
    </w:p>
  </w:footnote>
  <w:footnote w:id="11">
    <w:p w14:paraId="74C53E74" w14:textId="70E0310C" w:rsidR="00185E73" w:rsidRPr="00395593" w:rsidRDefault="00185E73" w:rsidP="00395593">
      <w:pPr>
        <w:pStyle w:val="FootnoteText"/>
        <w:spacing w:after="0"/>
        <w:ind w:left="284" w:hanging="284"/>
        <w:rPr>
          <w:rFonts w:cs="Arial"/>
        </w:rPr>
      </w:pPr>
      <w:r w:rsidRPr="00395593">
        <w:rPr>
          <w:rStyle w:val="FootnoteReference"/>
          <w:rFonts w:cs="Arial"/>
        </w:rPr>
        <w:footnoteRef/>
      </w:r>
      <w:r w:rsidRPr="00395593">
        <w:rPr>
          <w:rFonts w:cs="Arial"/>
        </w:rPr>
        <w:t xml:space="preserve"> </w:t>
      </w:r>
      <w:r w:rsidRPr="00395593">
        <w:rPr>
          <w:rFonts w:cs="Arial"/>
        </w:rPr>
        <w:tab/>
      </w:r>
      <w:r w:rsidRPr="00395593">
        <w:rPr>
          <w:rFonts w:cs="Arial"/>
          <w:lang w:eastAsia="en-GB"/>
        </w:rPr>
        <w:t>EUSILC UDB 2014 – version 2 of August 2016.</w:t>
      </w:r>
    </w:p>
  </w:footnote>
  <w:footnote w:id="12">
    <w:p w14:paraId="4DF9CDF8" w14:textId="618ACA10" w:rsidR="00185E73" w:rsidRPr="00395593" w:rsidRDefault="00185E73" w:rsidP="00395593">
      <w:pPr>
        <w:pStyle w:val="FootnoteText"/>
        <w:spacing w:after="0"/>
        <w:ind w:left="284" w:hanging="284"/>
        <w:rPr>
          <w:rFonts w:cs="Arial"/>
        </w:rPr>
      </w:pPr>
      <w:r w:rsidRPr="00395593">
        <w:rPr>
          <w:rStyle w:val="FootnoteReference"/>
          <w:rFonts w:cs="Arial"/>
        </w:rPr>
        <w:footnoteRef/>
      </w:r>
      <w:r w:rsidRPr="00395593">
        <w:rPr>
          <w:rFonts w:cs="Arial"/>
        </w:rPr>
        <w:t xml:space="preserve"> </w:t>
      </w:r>
      <w:r w:rsidRPr="00395593">
        <w:rPr>
          <w:rFonts w:cs="Arial"/>
        </w:rPr>
        <w:tab/>
        <w:t xml:space="preserve">The SILC survey questions are contained in the Minimum European Health Module (MEHM) </w:t>
      </w:r>
      <w:hyperlink r:id="rId7" w:history="1">
        <w:r w:rsidRPr="00395593">
          <w:rPr>
            <w:rStyle w:val="Hyperlink"/>
            <w:rFonts w:cs="Arial"/>
          </w:rPr>
          <w:t>http://epp.eurostat.ec.europa.eu/statistics_explained/index.php/Glossary:Minimum_European_Health_Module_(MEHM)</w:t>
        </w:r>
      </w:hyperlink>
      <w:r w:rsidRPr="00395593">
        <w:rPr>
          <w:rFonts w:cs="Arial"/>
        </w:rPr>
        <w:t>.</w:t>
      </w:r>
    </w:p>
  </w:footnote>
  <w:footnote w:id="13">
    <w:p w14:paraId="035F773E" w14:textId="054F25B8" w:rsidR="00185E73" w:rsidRPr="00395593" w:rsidRDefault="00185E73" w:rsidP="00395593">
      <w:pPr>
        <w:pStyle w:val="FootnoteText"/>
        <w:spacing w:after="0"/>
        <w:ind w:left="284" w:hanging="284"/>
        <w:rPr>
          <w:rFonts w:cs="Arial"/>
        </w:rPr>
      </w:pPr>
      <w:r w:rsidRPr="00395593">
        <w:rPr>
          <w:rStyle w:val="FootnoteReference"/>
          <w:rFonts w:cs="Arial"/>
        </w:rPr>
        <w:footnoteRef/>
      </w:r>
      <w:r w:rsidRPr="00395593">
        <w:rPr>
          <w:rFonts w:cs="Arial"/>
        </w:rPr>
        <w:t xml:space="preserve"> </w:t>
      </w:r>
      <w:r w:rsidRPr="00395593">
        <w:rPr>
          <w:rFonts w:cs="Arial"/>
        </w:rPr>
        <w:tab/>
        <w:t xml:space="preserve">The methodology is further explained in the annual statistical reports of ANED, available at </w:t>
      </w:r>
      <w:hyperlink r:id="rId8" w:history="1">
        <w:r w:rsidRPr="00395593">
          <w:rPr>
            <w:rStyle w:val="Hyperlink"/>
            <w:rFonts w:cs="Arial"/>
          </w:rPr>
          <w:t>http://www.disability-europe.net/theme/statistical-indicators</w:t>
        </w:r>
      </w:hyperlink>
      <w:r w:rsidRPr="00395593">
        <w:rPr>
          <w:rFonts w:cs="Arial"/>
        </w:rPr>
        <w:t>.</w:t>
      </w:r>
    </w:p>
  </w:footnote>
  <w:footnote w:id="14">
    <w:p w14:paraId="006E3854" w14:textId="508E0303" w:rsidR="00185E73" w:rsidRPr="00395593" w:rsidRDefault="00185E73" w:rsidP="00395593">
      <w:pPr>
        <w:pStyle w:val="FootnoteText"/>
        <w:spacing w:after="0"/>
        <w:ind w:left="284" w:hanging="284"/>
        <w:rPr>
          <w:rFonts w:cs="Arial"/>
          <w:lang w:val="en-GB"/>
        </w:rPr>
      </w:pPr>
      <w:r w:rsidRPr="00395593">
        <w:rPr>
          <w:rStyle w:val="FootnoteReference"/>
          <w:rFonts w:cs="Arial"/>
        </w:rPr>
        <w:footnoteRef/>
      </w:r>
      <w:r w:rsidRPr="00395593">
        <w:rPr>
          <w:rFonts w:cs="Arial"/>
        </w:rPr>
        <w:t xml:space="preserve"> </w:t>
      </w:r>
      <w:r w:rsidRPr="00395593">
        <w:rPr>
          <w:rFonts w:cs="Arial"/>
        </w:rPr>
        <w:tab/>
      </w:r>
      <w:r w:rsidRPr="00395593">
        <w:rPr>
          <w:rFonts w:cs="Arial"/>
          <w:lang w:val="en-GB"/>
        </w:rPr>
        <w:t xml:space="preserve">Annual Report in English (2012). </w:t>
      </w:r>
      <w:r w:rsidRPr="00395593">
        <w:rPr>
          <w:rFonts w:cs="Arial"/>
        </w:rPr>
        <w:t>Department for Social Inclusion of People with Disabilities</w:t>
      </w:r>
      <w:r w:rsidRPr="00395593">
        <w:rPr>
          <w:rFonts w:cs="Arial"/>
          <w:lang w:val="en-GB"/>
        </w:rPr>
        <w:t xml:space="preserve">, Available at: </w:t>
      </w:r>
      <w:hyperlink r:id="rId9" w:history="1">
        <w:r w:rsidRPr="00395593">
          <w:rPr>
            <w:rStyle w:val="Hyperlink"/>
            <w:rFonts w:cs="Arial"/>
          </w:rPr>
          <w:t>http://www.mlsi.gov.cy/mlsi/dsid/dsid.nsf/dsipd29_en/dsipd29_en?OpenDocument</w:t>
        </w:r>
      </w:hyperlink>
      <w:r w:rsidRPr="00395593">
        <w:rPr>
          <w:rFonts w:cs="Arial"/>
          <w:lang w:val="en-GB"/>
        </w:rPr>
        <w:t xml:space="preserve"> (link to document: </w:t>
      </w:r>
      <w:hyperlink r:id="rId10" w:history="1">
        <w:r w:rsidRPr="00395593">
          <w:rPr>
            <w:rStyle w:val="Hyperlink"/>
            <w:rFonts w:cs="Arial"/>
            <w:lang w:val="en-GB"/>
          </w:rPr>
          <w:t>http://www.mlsi.gov.cy/mlsi/dsid/dsid.nsf/58874A266C472D68C2257A7C002D2E19/$file/Annual%20Report%20DSID%202012.docx</w:t>
        </w:r>
      </w:hyperlink>
      <w:r w:rsidRPr="00395593">
        <w:rPr>
          <w:rFonts w:cs="Arial"/>
          <w:lang w:val="en-GB"/>
        </w:rPr>
        <w:t>).</w:t>
      </w:r>
    </w:p>
  </w:footnote>
  <w:footnote w:id="15">
    <w:p w14:paraId="1F73A7D7" w14:textId="4EAFBC9F" w:rsidR="00185E73" w:rsidRPr="00395593" w:rsidRDefault="00185E73" w:rsidP="00395593">
      <w:pPr>
        <w:pStyle w:val="FootnoteText"/>
        <w:spacing w:after="0"/>
        <w:ind w:left="284" w:hanging="284"/>
        <w:rPr>
          <w:rFonts w:cs="Arial"/>
        </w:rPr>
      </w:pPr>
      <w:r w:rsidRPr="00395593">
        <w:rPr>
          <w:rStyle w:val="FootnoteReference"/>
          <w:rFonts w:cs="Arial"/>
        </w:rPr>
        <w:footnoteRef/>
      </w:r>
      <w:r w:rsidRPr="00395593">
        <w:rPr>
          <w:rFonts w:cs="Arial"/>
        </w:rPr>
        <w:t xml:space="preserve"> </w:t>
      </w:r>
      <w:r w:rsidRPr="00395593">
        <w:rPr>
          <w:rFonts w:cs="Arial"/>
        </w:rPr>
        <w:tab/>
      </w:r>
      <w:r w:rsidRPr="00395593">
        <w:rPr>
          <w:rFonts w:cs="Arial"/>
          <w:lang w:val="en-GB"/>
        </w:rPr>
        <w:t xml:space="preserve">Annual Report Executive Summary in English (2014). </w:t>
      </w:r>
      <w:r w:rsidRPr="00395593">
        <w:rPr>
          <w:rFonts w:cs="Arial"/>
        </w:rPr>
        <w:t>Department for Social Inclusion of People with Disabilities</w:t>
      </w:r>
      <w:r w:rsidRPr="00395593">
        <w:rPr>
          <w:rFonts w:cs="Arial"/>
          <w:lang w:val="en-GB"/>
        </w:rPr>
        <w:t xml:space="preserve">, Available at: </w:t>
      </w:r>
      <w:hyperlink r:id="rId11" w:history="1">
        <w:r w:rsidRPr="00395593">
          <w:rPr>
            <w:rStyle w:val="Hyperlink"/>
            <w:rFonts w:cs="Arial"/>
          </w:rPr>
          <w:t>http://www.mlsi.gov.cy/mlsi/dsid/dsid.nsf/dsipd29_en/dsipd29_en?OpenDocument</w:t>
        </w:r>
      </w:hyperlink>
      <w:r w:rsidRPr="00395593">
        <w:rPr>
          <w:rFonts w:cs="Arial"/>
          <w:lang w:val="en-GB"/>
        </w:rPr>
        <w:t xml:space="preserve"> (link to document: </w:t>
      </w:r>
      <w:hyperlink r:id="rId12" w:history="1">
        <w:r w:rsidRPr="00395593">
          <w:rPr>
            <w:rStyle w:val="Hyperlink"/>
            <w:rFonts w:cs="Arial"/>
            <w:lang w:val="en-GB"/>
          </w:rPr>
          <w:t>http://www.mlsi.gov.cy/mlsi/dsid/dsid.nsf/58874A266C472D68C2257A7C002D2E19/$file/executive%20summary%20annual%20report%20DSID%202014.doc</w:t>
        </w:r>
      </w:hyperlink>
      <w:r w:rsidRPr="00395593">
        <w:rPr>
          <w:rFonts w:cs="Arial"/>
          <w:lang w:val="en-GB"/>
        </w:rPr>
        <w:t>).</w:t>
      </w:r>
    </w:p>
  </w:footnote>
  <w:footnote w:id="16">
    <w:p w14:paraId="32FA94DC" w14:textId="77777777" w:rsidR="00185E73" w:rsidRPr="00395593" w:rsidRDefault="00185E73" w:rsidP="00395593">
      <w:pPr>
        <w:pStyle w:val="FootnoteText"/>
        <w:spacing w:after="0"/>
        <w:ind w:left="284" w:hanging="284"/>
        <w:rPr>
          <w:rFonts w:cs="Arial"/>
        </w:rPr>
      </w:pPr>
      <w:r w:rsidRPr="00395593">
        <w:rPr>
          <w:rStyle w:val="FootnoteReference"/>
          <w:rFonts w:cs="Arial"/>
        </w:rPr>
        <w:footnoteRef/>
      </w:r>
      <w:r w:rsidRPr="00395593">
        <w:rPr>
          <w:rFonts w:cs="Arial"/>
        </w:rPr>
        <w:t xml:space="preserve"> </w:t>
      </w:r>
      <w:r w:rsidRPr="00395593">
        <w:rPr>
          <w:rFonts w:cs="Arial"/>
        </w:rPr>
        <w:tab/>
        <w:t xml:space="preserve">For the LFS AHM data see, Early school leavers </w:t>
      </w:r>
      <w:hyperlink r:id="rId13" w:history="1">
        <w:r w:rsidRPr="00395593">
          <w:rPr>
            <w:rStyle w:val="Hyperlink"/>
            <w:rFonts w:cs="Arial"/>
          </w:rPr>
          <w:t>http://appsso.eurostat.ec.europa.eu/nui/show.do?dataset=hlth_de010&amp;lang=en</w:t>
        </w:r>
      </w:hyperlink>
      <w:r w:rsidRPr="00395593">
        <w:rPr>
          <w:rFonts w:cs="Arial"/>
        </w:rPr>
        <w:t xml:space="preserve"> and tertiary educational attainment </w:t>
      </w:r>
      <w:hyperlink r:id="rId14" w:history="1">
        <w:r w:rsidRPr="00395593">
          <w:rPr>
            <w:rStyle w:val="Hyperlink"/>
            <w:rFonts w:cs="Arial"/>
          </w:rPr>
          <w:t>http://appsso.eurostat.ec.europa.eu/nui/show.do?dataset=hlth_de020&amp;lang=en</w:t>
        </w:r>
      </w:hyperlink>
      <w:r w:rsidRPr="00395593">
        <w:rPr>
          <w:rStyle w:val="Hyperlink"/>
          <w:rFonts w:cs="Arial"/>
          <w:u w:val="none"/>
          <w:lang w:val="en-GB"/>
        </w:rPr>
        <w:t>.</w:t>
      </w:r>
      <w:r w:rsidRPr="00395593">
        <w:rPr>
          <w:rFonts w:cs="Arial"/>
        </w:rPr>
        <w:t xml:space="preserve"> </w:t>
      </w:r>
    </w:p>
  </w:footnote>
  <w:footnote w:id="17">
    <w:p w14:paraId="522D9247" w14:textId="77777777" w:rsidR="00185E73" w:rsidRPr="00395593" w:rsidRDefault="00185E73" w:rsidP="00395593">
      <w:pPr>
        <w:pStyle w:val="FootnoteText"/>
        <w:spacing w:after="0"/>
        <w:ind w:left="284" w:hanging="284"/>
        <w:rPr>
          <w:rFonts w:cs="Arial"/>
        </w:rPr>
      </w:pPr>
      <w:r w:rsidRPr="00395593">
        <w:rPr>
          <w:rStyle w:val="FootnoteReference"/>
          <w:rFonts w:cs="Arial"/>
        </w:rPr>
        <w:footnoteRef/>
      </w:r>
      <w:r w:rsidRPr="00395593">
        <w:rPr>
          <w:rFonts w:cs="Arial"/>
        </w:rPr>
        <w:t xml:space="preserve"> </w:t>
      </w:r>
      <w:r w:rsidRPr="00395593">
        <w:rPr>
          <w:rFonts w:cs="Arial"/>
        </w:rPr>
        <w:tab/>
        <w:t>Numbers missing have not been provided by university services when requested. If available they will be submitted at a later stage.</w:t>
      </w:r>
    </w:p>
  </w:footnote>
  <w:footnote w:id="18">
    <w:p w14:paraId="20663E84" w14:textId="19BB0606" w:rsidR="00185E73" w:rsidRPr="00395593" w:rsidRDefault="00185E73" w:rsidP="00395593">
      <w:pPr>
        <w:pStyle w:val="FootnoteText"/>
        <w:spacing w:after="0"/>
        <w:ind w:left="284" w:hanging="284"/>
        <w:rPr>
          <w:rFonts w:cs="Arial"/>
          <w:lang w:val="en-GB"/>
        </w:rPr>
      </w:pPr>
      <w:r w:rsidRPr="00395593">
        <w:rPr>
          <w:rStyle w:val="FootnoteReference"/>
          <w:rFonts w:cs="Arial"/>
        </w:rPr>
        <w:footnoteRef/>
      </w:r>
      <w:r w:rsidRPr="00395593">
        <w:rPr>
          <w:rFonts w:cs="Arial"/>
        </w:rPr>
        <w:t xml:space="preserve"> </w:t>
      </w:r>
      <w:r w:rsidRPr="00395593">
        <w:rPr>
          <w:rFonts w:cs="Arial"/>
        </w:rPr>
        <w:tab/>
      </w:r>
      <w:r w:rsidRPr="00395593">
        <w:rPr>
          <w:rFonts w:cs="Arial"/>
          <w:lang w:eastAsia="en-GB"/>
        </w:rPr>
        <w:t>Cyprus national Partnership Agreements for the ESIF period 2014-2020</w:t>
      </w:r>
      <w:r w:rsidRPr="00395593">
        <w:rPr>
          <w:rFonts w:cs="Arial"/>
          <w:lang w:val="en-GB" w:eastAsia="en-GB"/>
        </w:rPr>
        <w:t xml:space="preserve">. Available at: </w:t>
      </w:r>
      <w:hyperlink r:id="rId15" w:history="1">
        <w:r w:rsidRPr="00395593">
          <w:rPr>
            <w:rStyle w:val="Hyperlink"/>
            <w:rFonts w:cs="Arial"/>
          </w:rPr>
          <w:t>http://www.structuralfunds.org.cy/uploadfiles/CY_PA_rev11Aug2014-SFC.pdf</w:t>
        </w:r>
      </w:hyperlink>
      <w:r w:rsidRPr="00395593">
        <w:rPr>
          <w:rFonts w:cs="Arial"/>
          <w:lang w:val="en-GB"/>
        </w:rPr>
        <w:t>.</w:t>
      </w:r>
    </w:p>
  </w:footnote>
  <w:footnote w:id="19">
    <w:p w14:paraId="0D791BF5" w14:textId="77777777" w:rsidR="00185E73" w:rsidRPr="00395593" w:rsidRDefault="00185E73" w:rsidP="00395593">
      <w:pPr>
        <w:pStyle w:val="FootnoteText"/>
        <w:spacing w:after="0"/>
        <w:ind w:left="284" w:hanging="284"/>
        <w:rPr>
          <w:rFonts w:cs="Arial"/>
          <w:lang w:val="en-GB"/>
        </w:rPr>
      </w:pPr>
      <w:r w:rsidRPr="00395593">
        <w:rPr>
          <w:rStyle w:val="FootnoteReference"/>
          <w:rFonts w:cs="Arial"/>
        </w:rPr>
        <w:footnoteRef/>
      </w:r>
      <w:r w:rsidRPr="00395593">
        <w:rPr>
          <w:rFonts w:cs="Arial"/>
        </w:rPr>
        <w:t xml:space="preserve"> </w:t>
      </w:r>
      <w:r w:rsidRPr="00395593">
        <w:rPr>
          <w:rFonts w:cs="Arial"/>
        </w:rPr>
        <w:tab/>
        <w:t xml:space="preserve">Structural Funds – Beneficiaries, available at </w:t>
      </w:r>
      <w:hyperlink r:id="rId16" w:history="1">
        <w:r w:rsidRPr="00395593">
          <w:rPr>
            <w:rStyle w:val="Hyperlink"/>
            <w:rFonts w:cs="Arial"/>
          </w:rPr>
          <w:t>http://www.structuralfunds.org.cy/Potential-Beneficiaries</w:t>
        </w:r>
      </w:hyperlink>
      <w:r w:rsidRPr="00395593">
        <w:rPr>
          <w:rFonts w:cs="Arial"/>
          <w:lang w:val="en-GB"/>
        </w:rPr>
        <w:t xml:space="preserve">. </w:t>
      </w:r>
    </w:p>
  </w:footnote>
  <w:footnote w:id="20">
    <w:p w14:paraId="7A323CD9" w14:textId="63CDEB93" w:rsidR="00185E73" w:rsidRPr="00395593" w:rsidRDefault="00185E73" w:rsidP="00395593">
      <w:pPr>
        <w:pStyle w:val="FootnoteText"/>
        <w:spacing w:after="0"/>
        <w:ind w:left="284" w:hanging="284"/>
        <w:rPr>
          <w:rFonts w:cs="Arial"/>
          <w:lang w:val="en-GB"/>
        </w:rPr>
      </w:pPr>
      <w:r w:rsidRPr="00395593">
        <w:rPr>
          <w:rStyle w:val="FootnoteReference"/>
          <w:rFonts w:cs="Arial"/>
        </w:rPr>
        <w:footnoteRef/>
      </w:r>
      <w:r w:rsidRPr="00395593">
        <w:rPr>
          <w:rFonts w:cs="Arial"/>
        </w:rPr>
        <w:t xml:space="preserve"> </w:t>
      </w:r>
      <w:r w:rsidRPr="00395593">
        <w:rPr>
          <w:rFonts w:cs="Arial"/>
        </w:rPr>
        <w:tab/>
        <w:t>Structural Funds – Annual Progress Report (J</w:t>
      </w:r>
      <w:r w:rsidRPr="00395593">
        <w:rPr>
          <w:rFonts w:cs="Arial"/>
          <w:lang w:val="en-GB"/>
        </w:rPr>
        <w:t>une</w:t>
      </w:r>
      <w:r w:rsidRPr="00395593">
        <w:rPr>
          <w:rFonts w:cs="Arial"/>
        </w:rPr>
        <w:t xml:space="preserve"> 201</w:t>
      </w:r>
      <w:r w:rsidRPr="00395593">
        <w:rPr>
          <w:rFonts w:cs="Arial"/>
          <w:lang w:val="en-GB"/>
        </w:rPr>
        <w:t>6</w:t>
      </w:r>
      <w:r w:rsidRPr="00395593">
        <w:rPr>
          <w:rFonts w:cs="Arial"/>
        </w:rPr>
        <w:t xml:space="preserve">) - </w:t>
      </w:r>
      <w:hyperlink r:id="rId17" w:history="1">
        <w:r w:rsidRPr="00395593">
          <w:rPr>
            <w:rStyle w:val="Hyperlink"/>
            <w:rFonts w:cs="Arial"/>
          </w:rPr>
          <w:t>http://www.structuralfunds.org.cy/uploadfiles/%CE%95%CF%84%CE%AE%CF%83%CE%B9%CE%B1%20%CE%88%CE%BA%CE%B8%CE%B5%CF%83%CE%B7%20%CE%A5%CE%BB%CE%BF%CF%80%CE%BF%CE%AF%CE%B7%CF%83%CE%B7%CF%82%202015%20--%20submitted.pdf</w:t>
        </w:r>
      </w:hyperlink>
      <w:r w:rsidRPr="00395593">
        <w:rPr>
          <w:rFonts w:cs="Arial"/>
          <w:lang w:val="en-GB"/>
        </w:rPr>
        <w:t>.</w:t>
      </w:r>
    </w:p>
  </w:footnote>
  <w:footnote w:id="21">
    <w:p w14:paraId="74554F88" w14:textId="79A23361" w:rsidR="00185E73" w:rsidRPr="00395593" w:rsidRDefault="00185E73" w:rsidP="00395593">
      <w:pPr>
        <w:pStyle w:val="FootnoteText"/>
        <w:spacing w:after="0"/>
        <w:ind w:left="284" w:hanging="284"/>
        <w:rPr>
          <w:rFonts w:cs="Arial"/>
          <w:lang w:val="en-GB"/>
        </w:rPr>
      </w:pPr>
      <w:r w:rsidRPr="00395593">
        <w:rPr>
          <w:rStyle w:val="FootnoteReference"/>
          <w:rFonts w:cs="Arial"/>
        </w:rPr>
        <w:footnoteRef/>
      </w:r>
      <w:r w:rsidRPr="00395593">
        <w:rPr>
          <w:rFonts w:cs="Arial"/>
        </w:rPr>
        <w:t xml:space="preserve"> </w:t>
      </w:r>
      <w:r w:rsidRPr="00395593">
        <w:rPr>
          <w:rFonts w:cs="Arial"/>
        </w:rPr>
        <w:tab/>
      </w:r>
      <w:r w:rsidRPr="00395593">
        <w:rPr>
          <w:rFonts w:cs="Arial"/>
          <w:lang w:val="en-GB"/>
        </w:rPr>
        <w:t xml:space="preserve">Structural Funds Annual Progress Report – Annex (June 2016). Available at: </w:t>
      </w:r>
      <w:hyperlink r:id="rId18" w:history="1">
        <w:r w:rsidRPr="00395593">
          <w:rPr>
            <w:rStyle w:val="Hyperlink"/>
            <w:rFonts w:cs="Arial"/>
            <w:lang w:val="en-GB"/>
          </w:rPr>
          <w:t>http://www.structuralfunds.org.cy/uploadfiles/%CE%A0%CE%B1%CF%81%CE%AC%CF%81%CF%84%CE%B7%CE%BC%CE%B1%201%20-%20%CE%94%CE%B5%CE%AF%CE%BA%CF%84%CE%B5%CF%82%20%CF%84%CE%BF%CF%85%20%CE%A0%CF%81%CE%BF%CE%B3%CF%81%CE%AC%CE%BC%CE%BC%CE%B1%CF%84%CE%BF%CF%82.pdf</w:t>
        </w:r>
      </w:hyperlink>
      <w:r w:rsidRPr="00395593">
        <w:rPr>
          <w:rFonts w:cs="Arial"/>
          <w:lang w:val="en-GB"/>
        </w:rPr>
        <w:t>.</w:t>
      </w:r>
    </w:p>
  </w:footnote>
  <w:footnote w:id="22">
    <w:p w14:paraId="07D91A9B" w14:textId="141BF3FA" w:rsidR="00185E73" w:rsidRPr="00395593" w:rsidRDefault="00185E73" w:rsidP="00395593">
      <w:pPr>
        <w:pStyle w:val="FootnoteText"/>
        <w:spacing w:after="0"/>
        <w:ind w:left="284" w:hanging="284"/>
        <w:rPr>
          <w:rFonts w:cs="Arial"/>
        </w:rPr>
      </w:pPr>
      <w:r w:rsidRPr="00395593">
        <w:rPr>
          <w:rStyle w:val="FootnoteReference"/>
          <w:rFonts w:cs="Arial"/>
        </w:rPr>
        <w:footnoteRef/>
      </w:r>
      <w:r w:rsidRPr="00395593">
        <w:rPr>
          <w:rFonts w:cs="Arial"/>
        </w:rPr>
        <w:t xml:space="preserve"> </w:t>
      </w:r>
      <w:r w:rsidRPr="00395593">
        <w:rPr>
          <w:rFonts w:cs="Arial"/>
        </w:rPr>
        <w:tab/>
        <w:t xml:space="preserve">Structural Funds – Evaluation Plan 2014-2020, available at </w:t>
      </w:r>
      <w:hyperlink r:id="rId19" w:history="1">
        <w:r w:rsidRPr="00395593">
          <w:rPr>
            <w:rStyle w:val="Hyperlink"/>
            <w:rFonts w:cs="Arial"/>
          </w:rPr>
          <w:t>http://www.structuralfunds.org.cy/uploadfiles/News/EVALUATION-PLAN-FINAL-DECEMBER-2015.docx</w:t>
        </w:r>
      </w:hyperlink>
      <w:r w:rsidRPr="00395593">
        <w:rPr>
          <w:rFonts w:cs="Arial"/>
          <w:lang w:val="en-GB"/>
        </w:rPr>
        <w:t xml:space="preserve"> and </w:t>
      </w:r>
      <w:hyperlink r:id="rId20" w:history="1">
        <w:r w:rsidRPr="00395593">
          <w:rPr>
            <w:rStyle w:val="Hyperlink"/>
            <w:rFonts w:cs="Arial"/>
            <w:lang w:val="en-GB"/>
          </w:rPr>
          <w:t>http://www.structuralfunds.org.cy/uploadfiles/News/EVALUATION-PLAN-FINAL-DECEMBER-2015.docx</w:t>
        </w:r>
      </w:hyperlink>
      <w:r w:rsidRPr="00395593">
        <w:rPr>
          <w:rFonts w:cs="Arial"/>
          <w:lang w:val="en-GB"/>
        </w:rPr>
        <w:t>.</w:t>
      </w:r>
    </w:p>
  </w:footnote>
  <w:footnote w:id="23">
    <w:p w14:paraId="2EDE6C13" w14:textId="330D6A70" w:rsidR="00185E73" w:rsidRPr="00395593" w:rsidRDefault="00185E73" w:rsidP="00395593">
      <w:pPr>
        <w:pStyle w:val="FootnoteText"/>
        <w:spacing w:after="0"/>
        <w:ind w:left="284" w:hanging="284"/>
        <w:rPr>
          <w:rFonts w:cs="Arial"/>
          <w:lang w:val="en-GB"/>
        </w:rPr>
      </w:pPr>
      <w:r w:rsidRPr="00395593">
        <w:rPr>
          <w:rStyle w:val="FootnoteReference"/>
          <w:rFonts w:cs="Arial"/>
        </w:rPr>
        <w:footnoteRef/>
      </w:r>
      <w:r w:rsidRPr="00395593">
        <w:rPr>
          <w:rFonts w:cs="Arial"/>
        </w:rPr>
        <w:t xml:space="preserve"> </w:t>
      </w:r>
      <w:r w:rsidRPr="00395593">
        <w:rPr>
          <w:rFonts w:cs="Arial"/>
        </w:rPr>
        <w:tab/>
      </w:r>
      <w:r w:rsidRPr="00395593">
        <w:rPr>
          <w:rFonts w:cs="Arial"/>
          <w:lang w:eastAsia="en-GB"/>
        </w:rPr>
        <w:t>The Evaluation Report of the “Service Provision for the Estimation of the Interventions of the Common Support of the ESIF and the Youth Employment Initiative Including the Implementation of the “Guarantee for the Youth” regarding the Inclusion Young People in the Labour Market” (Operational</w:t>
      </w:r>
      <w:r w:rsidRPr="00395593">
        <w:rPr>
          <w:rFonts w:cs="Arial"/>
          <w:lang w:val="en-GB" w:eastAsia="en-GB"/>
        </w:rPr>
        <w:t xml:space="preserve"> </w:t>
      </w:r>
      <w:r w:rsidRPr="00395593">
        <w:rPr>
          <w:rFonts w:cs="Arial"/>
          <w:lang w:eastAsia="en-GB"/>
        </w:rPr>
        <w:t>Programme</w:t>
      </w:r>
      <w:r w:rsidRPr="00395593">
        <w:rPr>
          <w:rFonts w:cs="Arial"/>
          <w:lang w:val="en-GB" w:eastAsia="en-GB"/>
        </w:rPr>
        <w:t xml:space="preserve">: </w:t>
      </w:r>
      <w:r w:rsidRPr="00395593">
        <w:rPr>
          <w:rFonts w:cs="Arial"/>
          <w:lang w:eastAsia="en-GB"/>
        </w:rPr>
        <w:t>Employment</w:t>
      </w:r>
      <w:r w:rsidRPr="00395593">
        <w:rPr>
          <w:rFonts w:cs="Arial"/>
          <w:lang w:val="en-GB" w:eastAsia="en-GB"/>
        </w:rPr>
        <w:t xml:space="preserve">, </w:t>
      </w:r>
      <w:r w:rsidRPr="00395593">
        <w:rPr>
          <w:rFonts w:cs="Arial"/>
          <w:lang w:eastAsia="en-GB"/>
        </w:rPr>
        <w:t>Human</w:t>
      </w:r>
      <w:r w:rsidRPr="00395593">
        <w:rPr>
          <w:rFonts w:cs="Arial"/>
          <w:lang w:val="en-GB" w:eastAsia="en-GB"/>
        </w:rPr>
        <w:t xml:space="preserve"> </w:t>
      </w:r>
      <w:r w:rsidRPr="00395593">
        <w:rPr>
          <w:rFonts w:cs="Arial"/>
          <w:lang w:eastAsia="en-GB"/>
        </w:rPr>
        <w:t>Capital</w:t>
      </w:r>
      <w:r w:rsidRPr="00395593">
        <w:rPr>
          <w:rFonts w:cs="Arial"/>
          <w:lang w:val="en-GB" w:eastAsia="en-GB"/>
        </w:rPr>
        <w:t xml:space="preserve"> </w:t>
      </w:r>
      <w:r w:rsidRPr="00395593">
        <w:rPr>
          <w:rFonts w:cs="Arial"/>
          <w:lang w:eastAsia="en-GB"/>
        </w:rPr>
        <w:t>and</w:t>
      </w:r>
      <w:r w:rsidRPr="00395593">
        <w:rPr>
          <w:rFonts w:cs="Arial"/>
          <w:lang w:val="en-GB" w:eastAsia="en-GB"/>
        </w:rPr>
        <w:t xml:space="preserve"> </w:t>
      </w:r>
      <w:r w:rsidRPr="00395593">
        <w:rPr>
          <w:rFonts w:cs="Arial"/>
          <w:lang w:eastAsia="en-GB"/>
        </w:rPr>
        <w:t>Social</w:t>
      </w:r>
      <w:r w:rsidRPr="00395593">
        <w:rPr>
          <w:rFonts w:cs="Arial"/>
          <w:lang w:val="en-GB" w:eastAsia="en-GB"/>
        </w:rPr>
        <w:t xml:space="preserve"> </w:t>
      </w:r>
      <w:r w:rsidRPr="00395593">
        <w:rPr>
          <w:rFonts w:cs="Arial"/>
          <w:lang w:eastAsia="en-GB"/>
        </w:rPr>
        <w:t>Cohesion</w:t>
      </w:r>
      <w:r w:rsidRPr="00395593">
        <w:rPr>
          <w:rFonts w:cs="Arial"/>
          <w:lang w:val="en-GB" w:eastAsia="en-GB"/>
        </w:rPr>
        <w:t xml:space="preserve">. Available at </w:t>
      </w:r>
      <w:hyperlink r:id="rId21" w:history="1">
        <w:r w:rsidRPr="00395593">
          <w:rPr>
            <w:rStyle w:val="Hyperlink"/>
            <w:rFonts w:cs="Arial"/>
            <w:lang w:val="en-GB" w:eastAsia="en-GB"/>
          </w:rPr>
          <w:t>http://www.structuralfunds.org.cy/uploadfiles/Apasxolisi_AnthropinoiPoroi/EKTHESI_AKSIOLOGISIS_PAN_final_NEW.pdf</w:t>
        </w:r>
      </w:hyperlink>
      <w:r w:rsidRPr="00395593">
        <w:rPr>
          <w:rFonts w:cs="Arial"/>
          <w:lang w:val="en-GB" w:eastAsia="en-GB"/>
        </w:rPr>
        <w:t>.</w:t>
      </w:r>
    </w:p>
  </w:footnote>
  <w:footnote w:id="24">
    <w:p w14:paraId="39518187" w14:textId="0F8182A5" w:rsidR="00185E73" w:rsidRPr="00395593" w:rsidRDefault="00185E73" w:rsidP="00395593">
      <w:pPr>
        <w:pStyle w:val="FootnoteText"/>
        <w:spacing w:after="0"/>
        <w:ind w:left="284" w:hanging="284"/>
        <w:rPr>
          <w:rFonts w:cs="Arial"/>
          <w:lang w:val="en-GB"/>
        </w:rPr>
      </w:pPr>
      <w:r w:rsidRPr="00395593">
        <w:rPr>
          <w:rStyle w:val="FootnoteReference"/>
          <w:rFonts w:cs="Arial"/>
        </w:rPr>
        <w:footnoteRef/>
      </w:r>
      <w:r w:rsidRPr="00395593">
        <w:rPr>
          <w:rFonts w:cs="Arial"/>
        </w:rPr>
        <w:t xml:space="preserve"> </w:t>
      </w:r>
      <w:r w:rsidRPr="00395593">
        <w:rPr>
          <w:rFonts w:cs="Arial"/>
        </w:rPr>
        <w:tab/>
      </w:r>
      <w:r w:rsidRPr="00395593">
        <w:rPr>
          <w:rFonts w:cs="Arial"/>
          <w:lang w:val="en-GB"/>
        </w:rPr>
        <w:t xml:space="preserve">Main Economic Indicators 2005-2019, Ministry of Finance. Available at: </w:t>
      </w:r>
      <w:hyperlink r:id="rId22" w:history="1">
        <w:r w:rsidRPr="00395593">
          <w:rPr>
            <w:rStyle w:val="Hyperlink"/>
            <w:rFonts w:cs="Arial"/>
            <w:lang w:val="en-GB"/>
          </w:rPr>
          <w:t>http://www.mof.gov.cy/mof/mof.nsf/page18_gr/page18_gr?OpenDocument</w:t>
        </w:r>
      </w:hyperlink>
      <w:r w:rsidRPr="00395593">
        <w:rPr>
          <w:rFonts w:cs="Arial"/>
          <w:lang w:val="en-GB"/>
        </w:rPr>
        <w:t>.</w:t>
      </w:r>
    </w:p>
  </w:footnote>
  <w:footnote w:id="25">
    <w:p w14:paraId="06E2DE08" w14:textId="66BE3EE8" w:rsidR="00185E73" w:rsidRPr="00395593" w:rsidRDefault="00185E73" w:rsidP="00395593">
      <w:pPr>
        <w:pStyle w:val="FootnoteText"/>
        <w:spacing w:after="0"/>
        <w:ind w:left="284" w:hanging="284"/>
        <w:rPr>
          <w:rFonts w:cs="Arial"/>
          <w:lang w:val="en-GB"/>
        </w:rPr>
      </w:pPr>
      <w:r w:rsidRPr="00395593">
        <w:rPr>
          <w:rStyle w:val="FootnoteReference"/>
          <w:rFonts w:cs="Arial"/>
        </w:rPr>
        <w:footnoteRef/>
      </w:r>
      <w:r w:rsidRPr="00395593">
        <w:rPr>
          <w:rFonts w:cs="Arial"/>
        </w:rPr>
        <w:t xml:space="preserve"> </w:t>
      </w:r>
      <w:r w:rsidRPr="00395593">
        <w:rPr>
          <w:rFonts w:cs="Arial"/>
        </w:rPr>
        <w:tab/>
      </w:r>
      <w:r w:rsidRPr="00395593">
        <w:rPr>
          <w:rFonts w:cs="Arial"/>
          <w:lang w:val="en-GB"/>
        </w:rPr>
        <w:t xml:space="preserve">New system of assessing disability and functionality, Department for Social Inclusion for People with Disabilities, available at: </w:t>
      </w:r>
      <w:hyperlink r:id="rId23" w:history="1">
        <w:r w:rsidRPr="00395593">
          <w:rPr>
            <w:rStyle w:val="Hyperlink"/>
            <w:rFonts w:cs="Arial"/>
          </w:rPr>
          <w:t>http://www.mlsi.gov.cy/mlsi/dsid/dsid.nsf/dsipd06_en/dsipd06_en?OpenDocument</w:t>
        </w:r>
      </w:hyperlink>
      <w:r w:rsidRPr="00395593">
        <w:rPr>
          <w:rFonts w:cs="Arial"/>
          <w:lang w:val="en-GB"/>
        </w:rPr>
        <w:t>.</w:t>
      </w:r>
    </w:p>
  </w:footnote>
  <w:footnote w:id="26">
    <w:p w14:paraId="486C7F0B" w14:textId="73DC5B42" w:rsidR="00185E73" w:rsidRPr="00395593" w:rsidRDefault="00185E73" w:rsidP="00395593">
      <w:pPr>
        <w:pStyle w:val="FootnoteText"/>
        <w:spacing w:after="0"/>
        <w:ind w:left="284" w:hanging="284"/>
        <w:rPr>
          <w:rFonts w:cs="Arial"/>
          <w:lang w:val="en-US"/>
        </w:rPr>
      </w:pPr>
      <w:r w:rsidRPr="00395593">
        <w:rPr>
          <w:rStyle w:val="FootnoteReference"/>
          <w:rFonts w:cs="Arial"/>
        </w:rPr>
        <w:footnoteRef/>
      </w:r>
      <w:r w:rsidRPr="00395593">
        <w:rPr>
          <w:rFonts w:cs="Arial"/>
        </w:rPr>
        <w:t xml:space="preserve"> </w:t>
      </w:r>
      <w:r w:rsidRPr="00395593">
        <w:rPr>
          <w:rFonts w:cs="Arial"/>
        </w:rPr>
        <w:tab/>
      </w:r>
      <w:proofErr w:type="spellStart"/>
      <w:r w:rsidRPr="00395593">
        <w:rPr>
          <w:rFonts w:cs="Arial"/>
          <w:lang w:val="en-US"/>
        </w:rPr>
        <w:t>Hollenweger</w:t>
      </w:r>
      <w:proofErr w:type="spellEnd"/>
      <w:r w:rsidRPr="00395593">
        <w:rPr>
          <w:rFonts w:cs="Arial"/>
          <w:lang w:val="en-US"/>
        </w:rPr>
        <w:t xml:space="preserve">, J (2014) Reconciling “All” with “Special”. A way forward towards a more Inclusive Thinking. In </w:t>
      </w:r>
      <w:proofErr w:type="spellStart"/>
      <w:r w:rsidRPr="00395593">
        <w:rPr>
          <w:rFonts w:cs="Arial"/>
          <w:lang w:val="en-US"/>
        </w:rPr>
        <w:t>Kiuppis</w:t>
      </w:r>
      <w:proofErr w:type="spellEnd"/>
      <w:r w:rsidRPr="00395593">
        <w:rPr>
          <w:rFonts w:cs="Arial"/>
          <w:lang w:val="en-US"/>
        </w:rPr>
        <w:t xml:space="preserve">, F and </w:t>
      </w:r>
      <w:proofErr w:type="spellStart"/>
      <w:r w:rsidRPr="00395593">
        <w:rPr>
          <w:rFonts w:cs="Arial"/>
          <w:lang w:val="en-US"/>
        </w:rPr>
        <w:t>Hausstatter</w:t>
      </w:r>
      <w:proofErr w:type="spellEnd"/>
      <w:r w:rsidRPr="00395593">
        <w:rPr>
          <w:rFonts w:cs="Arial"/>
          <w:lang w:val="en-US"/>
        </w:rPr>
        <w:t>, R.S (Eds</w:t>
      </w:r>
      <w:r>
        <w:rPr>
          <w:rFonts w:cs="Arial"/>
          <w:lang w:val="en-US"/>
        </w:rPr>
        <w:t>.</w:t>
      </w:r>
      <w:r w:rsidRPr="00395593">
        <w:rPr>
          <w:rFonts w:cs="Arial"/>
          <w:lang w:val="en-US"/>
        </w:rPr>
        <w:t>) Inclusive Education Twenty years after Salamanca. New York: Peter Lang Publishing.</w:t>
      </w:r>
    </w:p>
  </w:footnote>
  <w:footnote w:id="27">
    <w:p w14:paraId="0552B44C" w14:textId="2CF27737" w:rsidR="00185E73" w:rsidRPr="00395593" w:rsidRDefault="00185E73" w:rsidP="00395593">
      <w:pPr>
        <w:spacing w:after="0"/>
        <w:ind w:left="284" w:hanging="284"/>
        <w:rPr>
          <w:sz w:val="20"/>
          <w:szCs w:val="20"/>
          <w:lang w:val="en-US"/>
        </w:rPr>
      </w:pPr>
      <w:r w:rsidRPr="00395593">
        <w:rPr>
          <w:rStyle w:val="FootnoteReference"/>
          <w:sz w:val="20"/>
          <w:szCs w:val="20"/>
        </w:rPr>
        <w:footnoteRef/>
      </w:r>
      <w:r w:rsidRPr="00395593">
        <w:rPr>
          <w:sz w:val="20"/>
          <w:szCs w:val="20"/>
        </w:rPr>
        <w:t xml:space="preserve"> </w:t>
      </w:r>
      <w:r w:rsidRPr="00395593">
        <w:rPr>
          <w:sz w:val="20"/>
          <w:szCs w:val="20"/>
        </w:rPr>
        <w:tab/>
      </w:r>
      <w:r w:rsidRPr="00395593">
        <w:rPr>
          <w:sz w:val="20"/>
          <w:szCs w:val="20"/>
          <w:lang w:val="en-US"/>
        </w:rPr>
        <w:t>Shapiro, J. (2011) Dancing Wheelchairs: An innovative Way to Teach Medical Students about Disability. Medica</w:t>
      </w:r>
      <w:r>
        <w:rPr>
          <w:sz w:val="20"/>
          <w:szCs w:val="20"/>
          <w:lang w:val="en-US"/>
        </w:rPr>
        <w:t>l Humanities perspectives. p</w:t>
      </w:r>
      <w:r w:rsidRPr="00395593">
        <w:rPr>
          <w:sz w:val="20"/>
          <w:szCs w:val="20"/>
          <w:lang w:val="en-US"/>
        </w:rPr>
        <w:t>p. 886-887.</w:t>
      </w:r>
    </w:p>
  </w:footnote>
  <w:footnote w:id="28">
    <w:p w14:paraId="50DB7F48" w14:textId="29D784D4" w:rsidR="00185E73" w:rsidRPr="00395593" w:rsidRDefault="00185E73" w:rsidP="00395593">
      <w:pPr>
        <w:pStyle w:val="FootnoteText"/>
        <w:spacing w:after="0"/>
        <w:ind w:left="284" w:hanging="284"/>
        <w:rPr>
          <w:rFonts w:cs="Arial"/>
          <w:lang w:val="en-GB"/>
        </w:rPr>
      </w:pPr>
      <w:r w:rsidRPr="00395593">
        <w:rPr>
          <w:rStyle w:val="FootnoteReference"/>
          <w:rFonts w:cs="Arial"/>
        </w:rPr>
        <w:footnoteRef/>
      </w:r>
      <w:r w:rsidRPr="00395593">
        <w:rPr>
          <w:rFonts w:cs="Arial"/>
        </w:rPr>
        <w:t xml:space="preserve"> </w:t>
      </w:r>
      <w:r w:rsidRPr="00395593">
        <w:rPr>
          <w:rFonts w:cs="Arial"/>
        </w:rPr>
        <w:tab/>
        <w:t xml:space="preserve">Mavrou K, &amp; Meletiou-Mavrotheris M. (2015). Views and considerations on ICT-AT competences development within the ENTELIS project: The Case of Cyprus. </w:t>
      </w:r>
      <w:r w:rsidRPr="00395593">
        <w:rPr>
          <w:rFonts w:cs="Arial"/>
          <w:i/>
        </w:rPr>
        <w:t>Studies in Health Technology Informatics</w:t>
      </w:r>
      <w:r w:rsidRPr="00395593">
        <w:rPr>
          <w:rFonts w:cs="Arial"/>
        </w:rPr>
        <w:t>, 217, 671-8</w:t>
      </w:r>
      <w:r w:rsidRPr="00395593">
        <w:rPr>
          <w:rFonts w:cs="Arial"/>
          <w:lang w:val="en-GB"/>
        </w:rPr>
        <w:t xml:space="preserve">. Available at </w:t>
      </w:r>
      <w:hyperlink r:id="rId24" w:history="1">
        <w:r w:rsidRPr="00395593">
          <w:rPr>
            <w:rStyle w:val="Hyperlink"/>
            <w:rFonts w:cs="Arial"/>
            <w:lang w:val="en-GB"/>
          </w:rPr>
          <w:t>http://www.ncbi.nlm.nih.gov/pubmed/26294546</w:t>
        </w:r>
      </w:hyperlink>
      <w:r w:rsidRPr="00395593">
        <w:rPr>
          <w:rFonts w:cs="Arial"/>
          <w:lang w:val="en-GB"/>
        </w:rPr>
        <w:t>.</w:t>
      </w:r>
    </w:p>
  </w:footnote>
  <w:footnote w:id="29">
    <w:p w14:paraId="0FAEC56D" w14:textId="59731DEB" w:rsidR="00185E73" w:rsidRPr="00395593" w:rsidRDefault="00185E73" w:rsidP="00395593">
      <w:pPr>
        <w:pStyle w:val="FootnoteText"/>
        <w:spacing w:after="0"/>
        <w:ind w:left="284" w:hanging="284"/>
        <w:rPr>
          <w:rFonts w:cs="Arial"/>
        </w:rPr>
      </w:pPr>
      <w:r w:rsidRPr="00395593">
        <w:rPr>
          <w:rStyle w:val="FootnoteReference"/>
          <w:rFonts w:cs="Arial"/>
        </w:rPr>
        <w:footnoteRef/>
      </w:r>
      <w:r w:rsidRPr="00395593">
        <w:rPr>
          <w:rFonts w:cs="Arial"/>
        </w:rPr>
        <w:t xml:space="preserve"> </w:t>
      </w:r>
      <w:r w:rsidRPr="00395593">
        <w:rPr>
          <w:rFonts w:cs="Arial"/>
        </w:rPr>
        <w:tab/>
      </w:r>
      <w:r w:rsidRPr="00395593">
        <w:rPr>
          <w:rFonts w:cs="Arial"/>
          <w:lang w:val="en-GB"/>
        </w:rPr>
        <w:t xml:space="preserve">ENTELIS Project – State of the Art Report: </w:t>
      </w:r>
      <w:hyperlink r:id="rId25" w:history="1">
        <w:r w:rsidRPr="00395593">
          <w:rPr>
            <w:rStyle w:val="Hyperlink"/>
            <w:rFonts w:cs="Arial"/>
            <w:lang w:val="en-GB"/>
          </w:rPr>
          <w:t>http://www.entelis.net/en/node/237</w:t>
        </w:r>
      </w:hyperlink>
      <w:r w:rsidRPr="00395593">
        <w:rPr>
          <w:rFonts w:cs="Arial"/>
          <w:lang w:val="en-GB"/>
        </w:rPr>
        <w:t>.</w:t>
      </w:r>
    </w:p>
  </w:footnote>
  <w:footnote w:id="30">
    <w:p w14:paraId="3ED89906" w14:textId="56F12C66" w:rsidR="00185E73" w:rsidRPr="00395593" w:rsidRDefault="00185E73" w:rsidP="00395593">
      <w:pPr>
        <w:spacing w:after="0"/>
        <w:ind w:left="284" w:hanging="284"/>
        <w:rPr>
          <w:sz w:val="20"/>
          <w:szCs w:val="20"/>
        </w:rPr>
      </w:pPr>
      <w:r w:rsidRPr="00395593">
        <w:rPr>
          <w:rStyle w:val="FootnoteReference"/>
          <w:sz w:val="20"/>
          <w:szCs w:val="20"/>
        </w:rPr>
        <w:footnoteRef/>
      </w:r>
      <w:r w:rsidRPr="00395593">
        <w:rPr>
          <w:sz w:val="20"/>
          <w:szCs w:val="20"/>
        </w:rPr>
        <w:t xml:space="preserve"> </w:t>
      </w:r>
      <w:r w:rsidRPr="00395593">
        <w:rPr>
          <w:sz w:val="20"/>
          <w:szCs w:val="20"/>
        </w:rPr>
        <w:tab/>
        <w:t>Education and Training Monitor Cyprus (2015). Available at</w:t>
      </w:r>
      <w:r w:rsidRPr="00350989">
        <w:rPr>
          <w:rStyle w:val="Hyperlink"/>
          <w:sz w:val="20"/>
          <w:szCs w:val="20"/>
          <w:u w:val="none"/>
          <w:lang w:eastAsia="x-none"/>
        </w:rPr>
        <w:t>:</w:t>
      </w:r>
      <w:r w:rsidRPr="00395593">
        <w:rPr>
          <w:rStyle w:val="Hyperlink"/>
          <w:sz w:val="20"/>
          <w:szCs w:val="20"/>
          <w:lang w:eastAsia="x-none"/>
        </w:rPr>
        <w:t xml:space="preserve"> </w:t>
      </w:r>
      <w:r w:rsidRPr="00395593">
        <w:rPr>
          <w:rStyle w:val="Hyperlink"/>
          <w:sz w:val="20"/>
          <w:szCs w:val="20"/>
          <w:lang w:val="x-none" w:eastAsia="x-none"/>
        </w:rPr>
        <w:t>http://ec.europa.eu/education/tools/docs/2015/monitor2015-cyprus_en.pdf</w:t>
      </w:r>
      <w:r w:rsidRPr="00395593">
        <w:rPr>
          <w:rStyle w:val="Hyperlink"/>
          <w:sz w:val="20"/>
          <w:szCs w:val="20"/>
          <w:u w:val="none"/>
          <w:lang w:eastAsia="x-none"/>
        </w:rPr>
        <w:t>.</w:t>
      </w:r>
    </w:p>
  </w:footnote>
  <w:footnote w:id="31">
    <w:p w14:paraId="16735E63" w14:textId="39DC5BCF" w:rsidR="00185E73" w:rsidRPr="00395593" w:rsidRDefault="00185E73" w:rsidP="00395593">
      <w:pPr>
        <w:pStyle w:val="FootnoteText"/>
        <w:spacing w:after="0"/>
        <w:ind w:left="284" w:hanging="284"/>
        <w:rPr>
          <w:rFonts w:cs="Arial"/>
          <w:lang w:val="en-GB"/>
        </w:rPr>
      </w:pPr>
      <w:r w:rsidRPr="00395593">
        <w:rPr>
          <w:rStyle w:val="FootnoteReference"/>
          <w:rFonts w:cs="Arial"/>
        </w:rPr>
        <w:footnoteRef/>
      </w:r>
      <w:r w:rsidRPr="00395593">
        <w:rPr>
          <w:rFonts w:cs="Arial"/>
        </w:rPr>
        <w:t xml:space="preserve"> </w:t>
      </w:r>
      <w:r w:rsidRPr="00395593">
        <w:rPr>
          <w:rFonts w:cs="Arial"/>
        </w:rPr>
        <w:tab/>
        <w:t>Michaelidou, E., Mavrou, K. and Zaphiris, P. (2012) eInclusion @ Cyprus Universities:Provision and Web Accessibility. In CHI’12 Conference on Human Factors in Computing Systems, Proceedings, Texas, Austin, ACM 978 1-4503-1016-1/12/05</w:t>
      </w:r>
      <w:r w:rsidRPr="00395593">
        <w:rPr>
          <w:rFonts w:cs="Arial"/>
          <w:lang w:val="en-GB"/>
        </w:rPr>
        <w:t xml:space="preserve">. Available at </w:t>
      </w:r>
      <w:hyperlink r:id="rId26" w:history="1">
        <w:r w:rsidRPr="00395593">
          <w:rPr>
            <w:rStyle w:val="Hyperlink"/>
            <w:rFonts w:cs="Arial"/>
            <w:lang w:val="en-GB"/>
          </w:rPr>
          <w:t>http://dl.acm.org/citation.cfm?id=2223685</w:t>
        </w:r>
      </w:hyperlink>
      <w:r w:rsidRPr="00395593">
        <w:rPr>
          <w:rFonts w:cs="Arial"/>
          <w:lang w:val="en-GB"/>
        </w:rPr>
        <w:t>.</w:t>
      </w:r>
    </w:p>
  </w:footnote>
  <w:footnote w:id="32">
    <w:p w14:paraId="62F8C252" w14:textId="77777777" w:rsidR="00185E73" w:rsidRPr="00395593" w:rsidRDefault="00185E73" w:rsidP="00395593">
      <w:pPr>
        <w:pStyle w:val="FootnoteText"/>
        <w:spacing w:after="0"/>
        <w:ind w:left="284" w:hanging="284"/>
        <w:rPr>
          <w:rFonts w:cs="Arial"/>
        </w:rPr>
      </w:pPr>
      <w:r w:rsidRPr="00395593">
        <w:rPr>
          <w:rStyle w:val="FootnoteReference"/>
          <w:rFonts w:cs="Arial"/>
        </w:rPr>
        <w:footnoteRef/>
      </w:r>
      <w:r w:rsidRPr="00395593">
        <w:rPr>
          <w:rFonts w:cs="Arial"/>
        </w:rPr>
        <w:t xml:space="preserve"> </w:t>
      </w:r>
      <w:r w:rsidRPr="00395593">
        <w:rPr>
          <w:rFonts w:cs="Arial"/>
        </w:rPr>
        <w:tab/>
        <w:t>Gibson, S and Baskerville, D., Berry, A., Clarke, M. and Norris, K., Symeonidou, S. (2015) ‘Diversity' in Higher Education and inclusive learning futures’, Symposium, British Educational Research Association (BERA), September, 15-17, 2015. Queen’s University Belfas</w:t>
      </w:r>
    </w:p>
  </w:footnote>
  <w:footnote w:id="33">
    <w:p w14:paraId="7C43B321" w14:textId="152A22BB" w:rsidR="00185E73" w:rsidRPr="00395593" w:rsidRDefault="00185E73" w:rsidP="00395593">
      <w:pPr>
        <w:pStyle w:val="FootnoteText"/>
        <w:spacing w:after="0"/>
        <w:ind w:left="284" w:hanging="284"/>
        <w:rPr>
          <w:rFonts w:cs="Arial"/>
          <w:lang w:val="en-GB"/>
        </w:rPr>
      </w:pPr>
      <w:r w:rsidRPr="00395593">
        <w:rPr>
          <w:rStyle w:val="FootnoteReference"/>
          <w:rFonts w:cs="Arial"/>
        </w:rPr>
        <w:footnoteRef/>
      </w:r>
      <w:r w:rsidRPr="00395593">
        <w:rPr>
          <w:rFonts w:cs="Arial"/>
        </w:rPr>
        <w:t xml:space="preserve"> </w:t>
      </w:r>
      <w:r w:rsidRPr="00395593">
        <w:rPr>
          <w:rFonts w:cs="Arial"/>
        </w:rPr>
        <w:tab/>
      </w:r>
      <w:r w:rsidRPr="00395593">
        <w:rPr>
          <w:rFonts w:cs="Arial"/>
          <w:lang w:val="el-GR"/>
        </w:rPr>
        <w:t>Τ</w:t>
      </w:r>
      <w:r w:rsidRPr="00395593">
        <w:rPr>
          <w:rFonts w:cs="Arial"/>
        </w:rPr>
        <w:t>he Independent Authority for the Promotion of the Rights of PwD</w:t>
      </w:r>
      <w:r w:rsidRPr="00395593">
        <w:rPr>
          <w:rFonts w:cs="Arial"/>
          <w:lang w:val="en-GB"/>
        </w:rPr>
        <w:t xml:space="preserve">, available at: </w:t>
      </w:r>
      <w:hyperlink r:id="rId27" w:history="1">
        <w:r w:rsidRPr="00395593">
          <w:rPr>
            <w:rStyle w:val="Hyperlink"/>
            <w:rFonts w:cs="Arial"/>
          </w:rPr>
          <w:t>http://www.ombudsman.gov.cy/ombudsman/ombudsman.nsf/page09_en/page09_en?OpenDocument</w:t>
        </w:r>
      </w:hyperlink>
      <w:r w:rsidRPr="00395593">
        <w:rPr>
          <w:rFonts w:cs="Arial"/>
          <w:lang w:val="en-GB"/>
        </w:rPr>
        <w:t>.</w:t>
      </w:r>
    </w:p>
  </w:footnote>
  <w:footnote w:id="34">
    <w:p w14:paraId="4C3BF60B" w14:textId="26FC6C3D" w:rsidR="00185E73" w:rsidRPr="00395593" w:rsidRDefault="00185E73" w:rsidP="00395593">
      <w:pPr>
        <w:pStyle w:val="FootnoteText"/>
        <w:spacing w:after="0"/>
        <w:ind w:left="284" w:hanging="284"/>
        <w:rPr>
          <w:rFonts w:cs="Arial"/>
          <w:lang w:val="en-GB"/>
        </w:rPr>
      </w:pPr>
      <w:r w:rsidRPr="00395593">
        <w:rPr>
          <w:rStyle w:val="FootnoteReference"/>
          <w:rFonts w:cs="Arial"/>
        </w:rPr>
        <w:footnoteRef/>
      </w:r>
      <w:r w:rsidRPr="00395593">
        <w:rPr>
          <w:rFonts w:cs="Arial"/>
        </w:rPr>
        <w:t xml:space="preserve"> </w:t>
      </w:r>
      <w:r w:rsidRPr="00395593">
        <w:rPr>
          <w:rFonts w:cs="Arial"/>
        </w:rPr>
        <w:tab/>
        <w:t>Report of the Ombudsman and Human Rights Authority: Sector of Education and Employee Relationships</w:t>
      </w:r>
      <w:r w:rsidRPr="00395593">
        <w:rPr>
          <w:rFonts w:cs="Arial"/>
          <w:lang w:val="en-GB"/>
        </w:rPr>
        <w:t xml:space="preserve">. </w:t>
      </w:r>
      <w:r w:rsidRPr="00395593">
        <w:rPr>
          <w:rFonts w:cs="Arial"/>
        </w:rPr>
        <w:t>Independent Authority for the Promotion of the Rights of PwD</w:t>
      </w:r>
      <w:r w:rsidRPr="00395593">
        <w:rPr>
          <w:rFonts w:cs="Arial"/>
          <w:lang w:val="en-GB"/>
        </w:rPr>
        <w:t xml:space="preserve"> (2014). Case No ΑΥΤ.1/2014 and Complaint No: Α/Π 283/2014.</w:t>
      </w:r>
    </w:p>
  </w:footnote>
  <w:footnote w:id="35">
    <w:p w14:paraId="335AE3FB" w14:textId="49E9637E" w:rsidR="00185E73" w:rsidRPr="00395593" w:rsidRDefault="00185E73" w:rsidP="00395593">
      <w:pPr>
        <w:pStyle w:val="FootnoteText"/>
        <w:spacing w:after="0"/>
        <w:ind w:left="284" w:hanging="284"/>
        <w:rPr>
          <w:rFonts w:cs="Arial"/>
          <w:lang w:val="en-GB"/>
        </w:rPr>
      </w:pPr>
      <w:r w:rsidRPr="00395593">
        <w:rPr>
          <w:rStyle w:val="FootnoteReference"/>
          <w:rFonts w:cs="Arial"/>
        </w:rPr>
        <w:footnoteRef/>
      </w:r>
      <w:r w:rsidRPr="00395593">
        <w:rPr>
          <w:rFonts w:cs="Arial"/>
        </w:rPr>
        <w:t xml:space="preserve"> </w:t>
      </w:r>
      <w:r w:rsidRPr="00395593">
        <w:rPr>
          <w:rFonts w:cs="Arial"/>
        </w:rPr>
        <w:tab/>
        <w:t xml:space="preserve">Ministry of Labour and Social Insurance, Annual Report (2012). Available at </w:t>
      </w:r>
      <w:hyperlink r:id="rId28" w:history="1">
        <w:r w:rsidRPr="00395593">
          <w:rPr>
            <w:rStyle w:val="Hyperlink"/>
            <w:rFonts w:cs="Arial"/>
          </w:rPr>
          <w:t>http://www.mlsi.gov.cy/mlsi/mlsi.nsf/All/22B31A2F4190919FC2257C9E003052CA/$file/YEKA_2012_updated.pdf</w:t>
        </w:r>
      </w:hyperlink>
      <w:r w:rsidRPr="00395593">
        <w:rPr>
          <w:rFonts w:cs="Arial"/>
          <w:lang w:val="en-GB"/>
        </w:rPr>
        <w:t>.</w:t>
      </w:r>
    </w:p>
  </w:footnote>
  <w:footnote w:id="36">
    <w:p w14:paraId="40E8E1CF" w14:textId="40038B3C" w:rsidR="00185E73" w:rsidRPr="00395593" w:rsidRDefault="00185E73" w:rsidP="00395593">
      <w:pPr>
        <w:pStyle w:val="FootnoteText"/>
        <w:spacing w:after="0"/>
        <w:ind w:left="284" w:hanging="284"/>
        <w:rPr>
          <w:rFonts w:cs="Arial"/>
        </w:rPr>
      </w:pPr>
      <w:r w:rsidRPr="00395593">
        <w:rPr>
          <w:rStyle w:val="FootnoteReference"/>
          <w:rFonts w:cs="Arial"/>
        </w:rPr>
        <w:footnoteRef/>
      </w:r>
      <w:r w:rsidRPr="00395593">
        <w:rPr>
          <w:rFonts w:cs="Arial"/>
        </w:rPr>
        <w:t xml:space="preserve"> </w:t>
      </w:r>
      <w:r w:rsidRPr="00395593">
        <w:rPr>
          <w:rFonts w:cs="Arial"/>
        </w:rPr>
        <w:tab/>
        <w:t xml:space="preserve">The Recruitment of Persons with Disabilities in the Wider Public Sector (Special Provisions) Law of 2009 (N.146(I)/2009). Available at: </w:t>
      </w:r>
      <w:hyperlink r:id="rId29" w:history="1">
        <w:r w:rsidRPr="00395593">
          <w:rPr>
            <w:rStyle w:val="Hyperlink"/>
            <w:rFonts w:cs="Arial"/>
          </w:rPr>
          <w:t>http://www.cylaw.org/cgi-bin/open.pl?file=nomoi/enop/ind/2009_1_146/preamble-pr5e5a5a44-4dbb-cd45-1dc3-7d194767d5c2.html&amp;qstring=%E1%ED%E1%F0%E7*</w:t>
        </w:r>
      </w:hyperlink>
      <w:r w:rsidRPr="00395593">
        <w:rPr>
          <w:rStyle w:val="Hyperlink"/>
          <w:rFonts w:cs="Arial"/>
          <w:color w:val="auto"/>
          <w:u w:val="none"/>
        </w:rPr>
        <w:t>.</w:t>
      </w:r>
      <w:r w:rsidRPr="00395593">
        <w:rPr>
          <w:rFonts w:cs="Arial"/>
        </w:rPr>
        <w:t xml:space="preserve"> </w:t>
      </w:r>
    </w:p>
  </w:footnote>
  <w:footnote w:id="37">
    <w:p w14:paraId="412BA2EF" w14:textId="72713680" w:rsidR="00185E73" w:rsidRPr="00395593" w:rsidRDefault="00185E73" w:rsidP="00395593">
      <w:pPr>
        <w:pStyle w:val="FootnoteText"/>
        <w:spacing w:after="0"/>
        <w:ind w:left="284" w:hanging="284"/>
        <w:rPr>
          <w:rFonts w:cs="Arial"/>
          <w:lang w:val="en-GB"/>
        </w:rPr>
      </w:pPr>
      <w:r w:rsidRPr="00395593">
        <w:rPr>
          <w:rStyle w:val="FootnoteReference"/>
          <w:rFonts w:cs="Arial"/>
        </w:rPr>
        <w:footnoteRef/>
      </w:r>
      <w:r w:rsidRPr="00395593">
        <w:rPr>
          <w:rFonts w:cs="Arial"/>
        </w:rPr>
        <w:t xml:space="preserve"> </w:t>
      </w:r>
      <w:r w:rsidRPr="00395593">
        <w:rPr>
          <w:rFonts w:cs="Arial"/>
        </w:rPr>
        <w:tab/>
        <w:t>Department for Social Inclusion of People with Disabilities</w:t>
      </w:r>
      <w:r w:rsidRPr="00395593">
        <w:rPr>
          <w:rFonts w:cs="Arial"/>
          <w:lang w:val="en-GB"/>
        </w:rPr>
        <w:t xml:space="preserve">, Annual Report (2014). Available at </w:t>
      </w:r>
      <w:hyperlink r:id="rId30" w:history="1">
        <w:r w:rsidRPr="00395593">
          <w:rPr>
            <w:rStyle w:val="Hyperlink"/>
            <w:rFonts w:cs="Arial"/>
            <w:lang w:val="en-GB"/>
          </w:rPr>
          <w:t>http://www.mlsi.gov.cy/mlsi/dsid/dsid.nsf/32BF365375E1D346C2257A7C002D2F7D/$file/%CE%95%CF%84%CE%AE%CF%83%CE%B9%CE%B1%20%CE%88%CE%BA%CE%B8%CE%B5%CF%83%CE%B7%20%CE%A4%CE%9A%CE%95%CE%91%CE%91%202014.pdf</w:t>
        </w:r>
      </w:hyperlink>
      <w:r w:rsidRPr="00395593">
        <w:rPr>
          <w:rFonts w:cs="Arial"/>
          <w:lang w:val="en-GB"/>
        </w:rPr>
        <w:t>.</w:t>
      </w:r>
    </w:p>
  </w:footnote>
  <w:footnote w:id="38">
    <w:p w14:paraId="42167168" w14:textId="124E3692" w:rsidR="00185E73" w:rsidRPr="00395593" w:rsidRDefault="00185E73" w:rsidP="00395593">
      <w:pPr>
        <w:pStyle w:val="FootnoteText"/>
        <w:spacing w:after="0"/>
        <w:ind w:left="284" w:hanging="284"/>
        <w:rPr>
          <w:rFonts w:cs="Arial"/>
          <w:lang w:val="en-GB"/>
        </w:rPr>
      </w:pPr>
      <w:r w:rsidRPr="00395593">
        <w:rPr>
          <w:rStyle w:val="FootnoteReference"/>
          <w:rFonts w:cs="Arial"/>
        </w:rPr>
        <w:footnoteRef/>
      </w:r>
      <w:r w:rsidRPr="00395593">
        <w:rPr>
          <w:rFonts w:cs="Arial"/>
        </w:rPr>
        <w:t xml:space="preserve"> </w:t>
      </w:r>
      <w:r w:rsidRPr="00395593">
        <w:rPr>
          <w:rFonts w:cs="Arial"/>
        </w:rPr>
        <w:tab/>
      </w:r>
      <w:r w:rsidRPr="00395593">
        <w:rPr>
          <w:rFonts w:cs="Arial"/>
          <w:lang w:val="en-US"/>
        </w:rPr>
        <w:t>The Individuals with Disability Law</w:t>
      </w:r>
      <w:r w:rsidRPr="00395593">
        <w:rPr>
          <w:rFonts w:cs="Arial"/>
        </w:rPr>
        <w:t xml:space="preserve"> (</w:t>
      </w:r>
      <w:r w:rsidRPr="00395593">
        <w:rPr>
          <w:rFonts w:cs="Arial"/>
          <w:lang w:val="el-GR"/>
        </w:rPr>
        <w:t>Ν</w:t>
      </w:r>
      <w:r w:rsidRPr="00395593">
        <w:rPr>
          <w:rFonts w:cs="Arial"/>
          <w:bCs/>
        </w:rPr>
        <w:t>. 127(</w:t>
      </w:r>
      <w:r w:rsidRPr="00395593">
        <w:rPr>
          <w:rFonts w:cs="Arial"/>
          <w:lang w:val="el-GR"/>
        </w:rPr>
        <w:t>Ι</w:t>
      </w:r>
      <w:r w:rsidRPr="00395593">
        <w:rPr>
          <w:rFonts w:cs="Arial"/>
          <w:bCs/>
        </w:rPr>
        <w:t>)/2000</w:t>
      </w:r>
      <w:r w:rsidRPr="00395593">
        <w:rPr>
          <w:rFonts w:cs="Arial"/>
          <w:bCs/>
          <w:lang w:val="en-GB"/>
        </w:rPr>
        <w:t xml:space="preserve">) Available at: </w:t>
      </w:r>
      <w:hyperlink r:id="rId31" w:history="1">
        <w:r w:rsidRPr="00395593">
          <w:rPr>
            <w:rStyle w:val="Hyperlink"/>
            <w:rFonts w:cs="Arial"/>
          </w:rPr>
          <w:t>http://www.cylaw.org/nomoi/indexes/2000_1_127.html</w:t>
        </w:r>
      </w:hyperlink>
      <w:r w:rsidRPr="00395593">
        <w:rPr>
          <w:rFonts w:cs="Arial"/>
          <w:lang w:val="en-GB"/>
        </w:rPr>
        <w:t>.</w:t>
      </w:r>
    </w:p>
  </w:footnote>
  <w:footnote w:id="39">
    <w:p w14:paraId="720980AA" w14:textId="6FCF3890" w:rsidR="00185E73" w:rsidRPr="00395593" w:rsidRDefault="00185E73" w:rsidP="00395593">
      <w:pPr>
        <w:pStyle w:val="FootnoteText"/>
        <w:spacing w:after="0"/>
        <w:ind w:left="284" w:hanging="284"/>
        <w:rPr>
          <w:rFonts w:cs="Arial"/>
        </w:rPr>
      </w:pPr>
      <w:r w:rsidRPr="00395593">
        <w:rPr>
          <w:rStyle w:val="FootnoteReference"/>
          <w:rFonts w:cs="Arial"/>
        </w:rPr>
        <w:footnoteRef/>
      </w:r>
      <w:r w:rsidRPr="00395593">
        <w:rPr>
          <w:rFonts w:cs="Arial"/>
        </w:rPr>
        <w:t xml:space="preserve"> </w:t>
      </w:r>
      <w:r w:rsidRPr="00395593">
        <w:rPr>
          <w:rFonts w:cs="Arial"/>
        </w:rPr>
        <w:tab/>
        <w:t>Symeonidou, S., &amp; Mavrou, K. (2014). Deconstructing the Greek-Cypriot new national curriculum: to what extent are disabled children considered in the ‘humane and democratic school’ of Cyprus? Disability and Society, 29(2), 303–316. DOI:10.1080/09687599.2013.796879.</w:t>
      </w:r>
    </w:p>
  </w:footnote>
  <w:footnote w:id="40">
    <w:p w14:paraId="7199EA72" w14:textId="77777777" w:rsidR="00185E73" w:rsidRPr="00395593" w:rsidRDefault="00185E73" w:rsidP="00395593">
      <w:pPr>
        <w:pStyle w:val="FootnoteText"/>
        <w:spacing w:after="0"/>
        <w:ind w:left="284" w:hanging="284"/>
        <w:rPr>
          <w:rFonts w:cs="Arial"/>
          <w:lang w:val="en-GB"/>
        </w:rPr>
      </w:pPr>
      <w:r w:rsidRPr="00395593">
        <w:rPr>
          <w:rStyle w:val="FootnoteReference"/>
          <w:rFonts w:cs="Arial"/>
        </w:rPr>
        <w:footnoteRef/>
      </w:r>
      <w:r w:rsidRPr="00395593">
        <w:rPr>
          <w:rFonts w:cs="Arial"/>
        </w:rPr>
        <w:t xml:space="preserve"> </w:t>
      </w:r>
      <w:r w:rsidRPr="00395593">
        <w:rPr>
          <w:rFonts w:cs="Arial"/>
        </w:rPr>
        <w:tab/>
        <w:t>Mavrou, K., &amp;  Symeonidou, S. (2014). Employing the principles of Universal Design for Learning to deconstruct the Greek-Cypriot new national curriculum.</w:t>
      </w:r>
      <w:r w:rsidRPr="00395593">
        <w:rPr>
          <w:rFonts w:cs="Arial"/>
          <w:lang w:val="en-GB"/>
        </w:rPr>
        <w:t xml:space="preserve"> </w:t>
      </w:r>
      <w:r w:rsidRPr="00395593">
        <w:rPr>
          <w:rFonts w:cs="Arial"/>
        </w:rPr>
        <w:t>International Journal of Inclusive Education, 18(9), 918-933</w:t>
      </w:r>
    </w:p>
  </w:footnote>
  <w:footnote w:id="41">
    <w:p w14:paraId="38C41ECF" w14:textId="2212D0B1" w:rsidR="00185E73" w:rsidRPr="00395593" w:rsidRDefault="00185E73" w:rsidP="00395593">
      <w:pPr>
        <w:pStyle w:val="FootnoteText"/>
        <w:spacing w:after="0"/>
        <w:ind w:left="284" w:hanging="284"/>
        <w:rPr>
          <w:rFonts w:cs="Arial"/>
        </w:rPr>
      </w:pPr>
      <w:r w:rsidRPr="00395593">
        <w:rPr>
          <w:rStyle w:val="FootnoteReference"/>
          <w:rFonts w:cs="Arial"/>
        </w:rPr>
        <w:footnoteRef/>
      </w:r>
      <w:r w:rsidRPr="00395593">
        <w:rPr>
          <w:rFonts w:cs="Arial"/>
        </w:rPr>
        <w:t xml:space="preserve"> </w:t>
      </w:r>
      <w:r w:rsidRPr="00395593">
        <w:rPr>
          <w:rFonts w:cs="Arial"/>
        </w:rPr>
        <w:tab/>
      </w:r>
      <w:r w:rsidRPr="00395593">
        <w:rPr>
          <w:rFonts w:cs="Arial"/>
          <w:lang w:val="en-US"/>
        </w:rPr>
        <w:t>N</w:t>
      </w:r>
      <w:r w:rsidRPr="00395593">
        <w:rPr>
          <w:rFonts w:cs="Arial"/>
        </w:rPr>
        <w:t>orwich, B. and Lewis, A. (2007). ‘How specialized is teaching children with disabilities and difficulties?’ Journal of Curriculum Studies , 39(2), 127–50.</w:t>
      </w:r>
    </w:p>
  </w:footnote>
  <w:footnote w:id="42">
    <w:p w14:paraId="56DECDBB" w14:textId="3EF9651B" w:rsidR="00185E73" w:rsidRPr="00395593" w:rsidRDefault="00185E73" w:rsidP="00395593">
      <w:pPr>
        <w:pStyle w:val="FootnoteText"/>
        <w:spacing w:after="0"/>
        <w:ind w:left="284" w:hanging="284"/>
        <w:rPr>
          <w:rFonts w:cs="Arial"/>
        </w:rPr>
      </w:pPr>
      <w:r w:rsidRPr="00395593">
        <w:rPr>
          <w:rStyle w:val="FootnoteReference"/>
          <w:rFonts w:cs="Arial"/>
        </w:rPr>
        <w:footnoteRef/>
      </w:r>
      <w:r w:rsidRPr="00395593">
        <w:rPr>
          <w:rFonts w:cs="Arial"/>
          <w:lang w:val="en-US"/>
        </w:rPr>
        <w:t xml:space="preserve"> </w:t>
      </w:r>
      <w:r w:rsidRPr="00395593">
        <w:rPr>
          <w:rFonts w:cs="Arial"/>
          <w:lang w:val="en-US"/>
        </w:rPr>
        <w:tab/>
        <w:t>M</w:t>
      </w:r>
      <w:r w:rsidRPr="00395593">
        <w:rPr>
          <w:rFonts w:cs="Arial"/>
        </w:rPr>
        <w:t>itchell, D. (2008). What Really Works in Special and Inclusive Education. Using Evidence-Based Teaching Strategies.  London: Routledge.</w:t>
      </w:r>
    </w:p>
  </w:footnote>
  <w:footnote w:id="43">
    <w:p w14:paraId="3C87534E" w14:textId="77777777" w:rsidR="00185E73" w:rsidRPr="00395593" w:rsidRDefault="00185E73" w:rsidP="00395593">
      <w:pPr>
        <w:pStyle w:val="FootnoteText"/>
        <w:spacing w:after="0"/>
        <w:ind w:left="284" w:hanging="284"/>
        <w:rPr>
          <w:rFonts w:cs="Arial"/>
          <w:lang w:val="en-GB"/>
        </w:rPr>
      </w:pPr>
      <w:r w:rsidRPr="00395593">
        <w:rPr>
          <w:rStyle w:val="FootnoteReference"/>
          <w:rFonts w:cs="Arial"/>
        </w:rPr>
        <w:footnoteRef/>
      </w:r>
      <w:r w:rsidRPr="00395593">
        <w:rPr>
          <w:rFonts w:cs="Arial"/>
        </w:rPr>
        <w:t xml:space="preserve"> </w:t>
      </w:r>
      <w:r w:rsidRPr="00395593">
        <w:rPr>
          <w:rFonts w:cs="Arial"/>
        </w:rPr>
        <w:tab/>
        <w:t>Ministry of Education and Culture, National Curriculum of Primary Education: Under the spectrum of nine year education. Nicosia: Department of Programme Development, 1996</w:t>
      </w:r>
      <w:r w:rsidRPr="00395593">
        <w:rPr>
          <w:rFonts w:cs="Arial"/>
          <w:lang w:val="en-GB"/>
        </w:rPr>
        <w:t>.</w:t>
      </w:r>
    </w:p>
  </w:footnote>
  <w:footnote w:id="44">
    <w:p w14:paraId="2E939F0B" w14:textId="77777777" w:rsidR="00185E73" w:rsidRPr="00395593" w:rsidRDefault="00185E73" w:rsidP="00395593">
      <w:pPr>
        <w:pStyle w:val="FootnoteText"/>
        <w:spacing w:after="0"/>
        <w:ind w:left="284" w:hanging="284"/>
        <w:rPr>
          <w:rFonts w:cs="Arial"/>
        </w:rPr>
      </w:pPr>
      <w:r w:rsidRPr="00395593">
        <w:rPr>
          <w:rStyle w:val="FootnoteReference"/>
          <w:rFonts w:cs="Arial"/>
        </w:rPr>
        <w:footnoteRef/>
      </w:r>
      <w:r w:rsidRPr="00395593">
        <w:rPr>
          <w:rFonts w:cs="Arial"/>
        </w:rPr>
        <w:t xml:space="preserve"> </w:t>
      </w:r>
      <w:r w:rsidRPr="00395593">
        <w:rPr>
          <w:rFonts w:cs="Arial"/>
        </w:rPr>
        <w:tab/>
        <w:t>Ministry of Education and Culture, The 1999 Education Act for the Education of Children with Special Needs – N. 113(I)/99. Nicosia, 1999.</w:t>
      </w:r>
    </w:p>
  </w:footnote>
  <w:footnote w:id="45">
    <w:p w14:paraId="70493C50" w14:textId="77777777" w:rsidR="00185E73" w:rsidRPr="00395593" w:rsidRDefault="00185E73" w:rsidP="00395593">
      <w:pPr>
        <w:pStyle w:val="FootnoteText"/>
        <w:spacing w:after="0"/>
        <w:ind w:left="284" w:hanging="284"/>
        <w:rPr>
          <w:rFonts w:cs="Arial"/>
          <w:lang w:val="en-GB"/>
        </w:rPr>
      </w:pPr>
      <w:r w:rsidRPr="00395593">
        <w:rPr>
          <w:rStyle w:val="FootnoteReference"/>
          <w:rFonts w:cs="Arial"/>
        </w:rPr>
        <w:footnoteRef/>
      </w:r>
      <w:r w:rsidRPr="00395593">
        <w:rPr>
          <w:rFonts w:cs="Arial"/>
        </w:rPr>
        <w:t xml:space="preserve"> </w:t>
      </w:r>
      <w:r w:rsidRPr="00395593">
        <w:rPr>
          <w:rFonts w:cs="Arial"/>
        </w:rPr>
        <w:tab/>
        <w:t xml:space="preserve">Ministry of Education and Culture, The 2001 Regulations (185) for the Early Identification of Children with Special Needs, available at </w:t>
      </w:r>
      <w:hyperlink r:id="rId32" w:history="1">
        <w:r w:rsidRPr="00395593">
          <w:rPr>
            <w:rStyle w:val="Hyperlink"/>
            <w:rFonts w:cs="Arial"/>
          </w:rPr>
          <w:t>http://www.moec.gov.cy/eidiki_ekpaidefsi/nomothesia/peri_mihanismou_kanonismoi_2001_185_2001.pdf</w:t>
        </w:r>
      </w:hyperlink>
      <w:r w:rsidRPr="00395593">
        <w:rPr>
          <w:rFonts w:cs="Arial"/>
          <w:lang w:val="en-GB"/>
        </w:rPr>
        <w:t xml:space="preserve">. </w:t>
      </w:r>
    </w:p>
  </w:footnote>
  <w:footnote w:id="46">
    <w:p w14:paraId="449BC8AA" w14:textId="77777777" w:rsidR="00185E73" w:rsidRPr="00395593" w:rsidRDefault="00185E73" w:rsidP="00395593">
      <w:pPr>
        <w:pStyle w:val="FootnoteText"/>
        <w:spacing w:after="0"/>
        <w:ind w:left="284" w:hanging="284"/>
        <w:rPr>
          <w:rFonts w:cs="Arial"/>
          <w:lang w:val="en-GB"/>
        </w:rPr>
      </w:pPr>
      <w:r w:rsidRPr="00395593">
        <w:rPr>
          <w:rStyle w:val="FootnoteReference"/>
          <w:rFonts w:cs="Arial"/>
        </w:rPr>
        <w:footnoteRef/>
      </w:r>
      <w:r w:rsidRPr="00395593">
        <w:rPr>
          <w:rFonts w:cs="Arial"/>
        </w:rPr>
        <w:t xml:space="preserve"> </w:t>
      </w:r>
      <w:r w:rsidRPr="00395593">
        <w:rPr>
          <w:rFonts w:cs="Arial"/>
        </w:rPr>
        <w:tab/>
        <w:t xml:space="preserve">Ministry of Education and Culture, Health Education, Early Intervention Group, at </w:t>
      </w:r>
      <w:hyperlink r:id="rId33" w:history="1">
        <w:r w:rsidRPr="00395593">
          <w:rPr>
            <w:rStyle w:val="Hyperlink"/>
            <w:rFonts w:cs="Arial"/>
          </w:rPr>
          <w:t>http://www.moec.gov.cy/agogi_ygeias/omada_amesis_paremvasis_paravatikotita.html</w:t>
        </w:r>
      </w:hyperlink>
      <w:r w:rsidRPr="00395593">
        <w:rPr>
          <w:rFonts w:cs="Arial"/>
          <w:lang w:val="en-GB"/>
        </w:rPr>
        <w:t xml:space="preserve">. </w:t>
      </w:r>
    </w:p>
  </w:footnote>
  <w:footnote w:id="47">
    <w:p w14:paraId="276E087C" w14:textId="77777777" w:rsidR="00185E73" w:rsidRPr="00395593" w:rsidRDefault="00185E73" w:rsidP="00395593">
      <w:pPr>
        <w:pStyle w:val="FootnoteText"/>
        <w:spacing w:after="0"/>
        <w:ind w:left="284" w:hanging="284"/>
        <w:rPr>
          <w:rFonts w:cs="Arial"/>
          <w:lang w:val="en-GB"/>
        </w:rPr>
      </w:pPr>
      <w:r w:rsidRPr="00395593">
        <w:rPr>
          <w:rStyle w:val="FootnoteReference"/>
          <w:rFonts w:cs="Arial"/>
        </w:rPr>
        <w:footnoteRef/>
      </w:r>
      <w:r w:rsidRPr="00395593">
        <w:rPr>
          <w:rFonts w:cs="Arial"/>
        </w:rPr>
        <w:t xml:space="preserve"> </w:t>
      </w:r>
      <w:r w:rsidRPr="00395593">
        <w:rPr>
          <w:rFonts w:cs="Arial"/>
        </w:rPr>
        <w:tab/>
        <w:t xml:space="preserve">Committee for the Protection of People with Intellectual Disabilities – Intervention, available at </w:t>
      </w:r>
      <w:hyperlink r:id="rId34" w:history="1">
        <w:r w:rsidRPr="00395593">
          <w:rPr>
            <w:rStyle w:val="Hyperlink"/>
            <w:rFonts w:cs="Arial"/>
          </w:rPr>
          <w:t>http://www.cpmental.com.cy/epnka/page.php?pageID=25</w:t>
        </w:r>
      </w:hyperlink>
      <w:r w:rsidRPr="00395593">
        <w:rPr>
          <w:rFonts w:cs="Arial"/>
          <w:lang w:val="en-GB"/>
        </w:rPr>
        <w:t xml:space="preserve">. </w:t>
      </w:r>
    </w:p>
  </w:footnote>
  <w:footnote w:id="48">
    <w:p w14:paraId="43485803" w14:textId="77777777" w:rsidR="00185E73" w:rsidRPr="00395593" w:rsidRDefault="00185E73" w:rsidP="00395593">
      <w:pPr>
        <w:pStyle w:val="FootnoteText"/>
        <w:spacing w:after="0"/>
        <w:ind w:left="284" w:hanging="284"/>
        <w:rPr>
          <w:rFonts w:cs="Arial"/>
        </w:rPr>
      </w:pPr>
      <w:r w:rsidRPr="00395593">
        <w:rPr>
          <w:rStyle w:val="FootnoteReference"/>
          <w:rFonts w:cs="Arial"/>
        </w:rPr>
        <w:footnoteRef/>
      </w:r>
      <w:r w:rsidRPr="00395593">
        <w:rPr>
          <w:rFonts w:cs="Arial"/>
        </w:rPr>
        <w:t xml:space="preserve"> </w:t>
      </w:r>
      <w:r w:rsidRPr="00395593">
        <w:rPr>
          <w:rFonts w:cs="Arial"/>
        </w:rPr>
        <w:tab/>
      </w:r>
      <w:r w:rsidRPr="00395593">
        <w:rPr>
          <w:rFonts w:cs="Arial"/>
          <w:color w:val="000000"/>
          <w:shd w:val="clear" w:color="auto" w:fill="FFFFFF"/>
        </w:rPr>
        <w:t>Document of the World Bank: Teacher Policies in the Republic of Cyprus, May 22, 2014, Poverty Reduction and Economic Management Unit Southern Europe Program Europe &amp; Central Asian Region.</w:t>
      </w:r>
      <w:r w:rsidRPr="00395593">
        <w:rPr>
          <w:rFonts w:cs="Arial"/>
        </w:rPr>
        <w:t xml:space="preserve"> </w:t>
      </w:r>
    </w:p>
  </w:footnote>
  <w:footnote w:id="49">
    <w:p w14:paraId="49653232" w14:textId="77777777" w:rsidR="00185E73" w:rsidRPr="00395593" w:rsidRDefault="00185E73" w:rsidP="00395593">
      <w:pPr>
        <w:pStyle w:val="FootnoteText"/>
        <w:spacing w:after="0"/>
        <w:ind w:left="284" w:hanging="284"/>
        <w:rPr>
          <w:rFonts w:cs="Arial"/>
        </w:rPr>
      </w:pPr>
      <w:r w:rsidRPr="00395593">
        <w:rPr>
          <w:rStyle w:val="FootnoteReference"/>
          <w:rFonts w:cs="Arial"/>
        </w:rPr>
        <w:footnoteRef/>
      </w:r>
      <w:r w:rsidRPr="00395593">
        <w:rPr>
          <w:rFonts w:cs="Arial"/>
        </w:rPr>
        <w:t xml:space="preserve"> </w:t>
      </w:r>
      <w:r w:rsidRPr="00395593">
        <w:rPr>
          <w:rFonts w:cs="Arial"/>
        </w:rPr>
        <w:tab/>
      </w:r>
      <w:r w:rsidRPr="00395593">
        <w:rPr>
          <w:rFonts w:cs="Arial"/>
          <w:color w:val="000000"/>
          <w:shd w:val="clear" w:color="auto" w:fill="FFFFFF"/>
        </w:rPr>
        <w:t xml:space="preserve">Smith, E. &amp; Douglas, G. (2014) Special Educational needs, disability and school accountability: an international perspective. </w:t>
      </w:r>
      <w:r w:rsidRPr="00395593">
        <w:rPr>
          <w:rFonts w:cs="Arial"/>
          <w:i/>
          <w:color w:val="000000"/>
          <w:shd w:val="clear" w:color="auto" w:fill="FFFFFF"/>
        </w:rPr>
        <w:t>International Journal of Inclusive Education, 18</w:t>
      </w:r>
      <w:r w:rsidRPr="00395593">
        <w:rPr>
          <w:rFonts w:cs="Arial"/>
          <w:color w:val="000000"/>
          <w:shd w:val="clear" w:color="auto" w:fill="FFFFFF"/>
        </w:rPr>
        <w:t xml:space="preserve"> (5), 443-458.</w:t>
      </w:r>
    </w:p>
  </w:footnote>
  <w:footnote w:id="50">
    <w:p w14:paraId="4A439077" w14:textId="77777777" w:rsidR="00185E73" w:rsidRPr="00395593" w:rsidRDefault="00185E73" w:rsidP="00395593">
      <w:pPr>
        <w:pStyle w:val="FootnoteText"/>
        <w:spacing w:after="0"/>
        <w:ind w:left="284" w:hanging="284"/>
        <w:rPr>
          <w:rFonts w:cs="Arial"/>
        </w:rPr>
      </w:pPr>
      <w:r w:rsidRPr="00395593">
        <w:rPr>
          <w:rStyle w:val="FootnoteReference"/>
          <w:rFonts w:cs="Arial"/>
        </w:rPr>
        <w:footnoteRef/>
      </w:r>
      <w:r w:rsidRPr="00395593">
        <w:rPr>
          <w:rFonts w:cs="Arial"/>
        </w:rPr>
        <w:t xml:space="preserve"> </w:t>
      </w:r>
      <w:r w:rsidRPr="00395593">
        <w:rPr>
          <w:rFonts w:cs="Arial"/>
        </w:rPr>
        <w:tab/>
      </w:r>
      <w:r w:rsidRPr="00395593">
        <w:rPr>
          <w:rFonts w:cs="Arial"/>
          <w:color w:val="000000"/>
          <w:shd w:val="clear" w:color="auto" w:fill="FFFFFF"/>
        </w:rPr>
        <w:t xml:space="preserve">Artiles, A.J., Harris-Murri, N. &amp; D. Rostenberg, D. (2006). Inclusion as social justice. Critical notes on discourses, assumptions, and the road ahead. </w:t>
      </w:r>
      <w:r w:rsidRPr="00395593">
        <w:rPr>
          <w:rFonts w:cs="Arial"/>
          <w:i/>
          <w:color w:val="000000"/>
          <w:shd w:val="clear" w:color="auto" w:fill="FFFFFF"/>
        </w:rPr>
        <w:t>Theory Into Practice,</w:t>
      </w:r>
      <w:r w:rsidRPr="00395593">
        <w:rPr>
          <w:rFonts w:cs="Arial"/>
          <w:color w:val="000000"/>
          <w:shd w:val="clear" w:color="auto" w:fill="FFFFFF"/>
        </w:rPr>
        <w:t xml:space="preserve"> </w:t>
      </w:r>
      <w:r w:rsidRPr="00395593">
        <w:rPr>
          <w:rFonts w:cs="Arial"/>
          <w:i/>
          <w:color w:val="000000"/>
          <w:shd w:val="clear" w:color="auto" w:fill="FFFFFF"/>
        </w:rPr>
        <w:t>45</w:t>
      </w:r>
      <w:r w:rsidRPr="00395593">
        <w:rPr>
          <w:rFonts w:cs="Arial"/>
          <w:color w:val="000000"/>
          <w:shd w:val="clear" w:color="auto" w:fill="FFFFFF"/>
        </w:rPr>
        <w:t>(3), 260–8.</w:t>
      </w:r>
    </w:p>
  </w:footnote>
  <w:footnote w:id="51">
    <w:p w14:paraId="1D09F914" w14:textId="77777777" w:rsidR="00185E73" w:rsidRPr="00395593" w:rsidRDefault="00185E73" w:rsidP="00395593">
      <w:pPr>
        <w:pStyle w:val="FootnoteText"/>
        <w:spacing w:after="0"/>
        <w:ind w:left="284" w:hanging="284"/>
        <w:rPr>
          <w:rFonts w:cs="Arial"/>
        </w:rPr>
      </w:pPr>
      <w:r w:rsidRPr="00395593">
        <w:rPr>
          <w:rStyle w:val="FootnoteReference"/>
          <w:rFonts w:cs="Arial"/>
        </w:rPr>
        <w:footnoteRef/>
      </w:r>
      <w:r w:rsidRPr="00395593">
        <w:rPr>
          <w:rFonts w:cs="Arial"/>
        </w:rPr>
        <w:t xml:space="preserve"> </w:t>
      </w:r>
      <w:r w:rsidRPr="00395593">
        <w:rPr>
          <w:rFonts w:cs="Arial"/>
        </w:rPr>
        <w:tab/>
      </w:r>
      <w:r w:rsidRPr="00395593">
        <w:rPr>
          <w:rFonts w:cs="Arial"/>
          <w:color w:val="000000"/>
          <w:shd w:val="clear" w:color="auto" w:fill="FFFFFF"/>
        </w:rPr>
        <w:t xml:space="preserve">Bringhouse, H. (2010). Educational equality and school reform. In G. Haydon (ed.) </w:t>
      </w:r>
      <w:r w:rsidRPr="00395593">
        <w:rPr>
          <w:rFonts w:cs="Arial"/>
          <w:i/>
          <w:color w:val="000000"/>
          <w:shd w:val="clear" w:color="auto" w:fill="FFFFFF"/>
        </w:rPr>
        <w:t>Educational equality</w:t>
      </w:r>
      <w:r w:rsidRPr="00395593">
        <w:rPr>
          <w:rFonts w:cs="Arial"/>
          <w:color w:val="000000"/>
          <w:shd w:val="clear" w:color="auto" w:fill="FFFFFF"/>
        </w:rPr>
        <w:t>, London: Continuum.</w:t>
      </w:r>
    </w:p>
  </w:footnote>
  <w:footnote w:id="52">
    <w:p w14:paraId="22A5318F" w14:textId="77777777" w:rsidR="00185E73" w:rsidRPr="00395593" w:rsidRDefault="00185E73" w:rsidP="00395593">
      <w:pPr>
        <w:pStyle w:val="FootnoteText"/>
        <w:spacing w:after="0"/>
        <w:ind w:left="284" w:hanging="284"/>
        <w:rPr>
          <w:rFonts w:cs="Arial"/>
          <w:lang w:val="en-GB"/>
        </w:rPr>
      </w:pPr>
      <w:r w:rsidRPr="00395593">
        <w:rPr>
          <w:rStyle w:val="FootnoteReference"/>
          <w:rFonts w:cs="Arial"/>
        </w:rPr>
        <w:footnoteRef/>
      </w:r>
      <w:r w:rsidRPr="00395593">
        <w:rPr>
          <w:rFonts w:cs="Arial"/>
        </w:rPr>
        <w:t xml:space="preserve"> </w:t>
      </w:r>
      <w:r w:rsidRPr="00395593">
        <w:rPr>
          <w:rFonts w:cs="Arial"/>
        </w:rPr>
        <w:tab/>
        <w:t>Smith, E. and Douglas, G. (2014). ‘Special educational needs, disability and school accountability: an international perspective’. International Journal of Inclusive Education, 18(5), 443–458</w:t>
      </w:r>
      <w:r w:rsidRPr="00395593">
        <w:rPr>
          <w:rFonts w:cs="Arial"/>
          <w:lang w:val="en-GB"/>
        </w:rPr>
        <w:t>.</w:t>
      </w:r>
    </w:p>
  </w:footnote>
  <w:footnote w:id="53">
    <w:p w14:paraId="366B04C1" w14:textId="48C83207" w:rsidR="00185E73" w:rsidRPr="00395593" w:rsidRDefault="00185E73" w:rsidP="00395593">
      <w:pPr>
        <w:pStyle w:val="FootnoteText"/>
        <w:spacing w:after="0"/>
        <w:ind w:left="284" w:hanging="284"/>
        <w:rPr>
          <w:rFonts w:cs="Arial"/>
          <w:lang w:val="en-GB"/>
        </w:rPr>
      </w:pPr>
      <w:r w:rsidRPr="00395593">
        <w:rPr>
          <w:rStyle w:val="FootnoteReference"/>
          <w:rFonts w:cs="Arial"/>
        </w:rPr>
        <w:footnoteRef/>
      </w:r>
      <w:r w:rsidRPr="00395593">
        <w:rPr>
          <w:rFonts w:cs="Arial"/>
        </w:rPr>
        <w:t xml:space="preserve"> </w:t>
      </w:r>
      <w:r w:rsidRPr="00395593">
        <w:rPr>
          <w:rFonts w:cs="Arial"/>
        </w:rPr>
        <w:tab/>
        <w:t xml:space="preserve">Department for Education (DfE) and Department of Health (DoH). (2014). Special Educational Needs and Disability (SEN) Code of Practice: For 0 to 25. UK: Department for Education. Retrieved </w:t>
      </w:r>
      <w:r w:rsidRPr="00395593">
        <w:rPr>
          <w:rFonts w:cs="Arial"/>
        </w:rPr>
        <w:t xml:space="preserve">August 2014 from </w:t>
      </w:r>
      <w:r>
        <w:fldChar w:fldCharType="begin"/>
      </w:r>
      <w:r>
        <w:instrText xml:space="preserve"> HYPERLINK "https://www.gov.uk/government/publications/send-code-of-practice-0-to-25" </w:instrText>
      </w:r>
      <w:r>
        <w:fldChar w:fldCharType="separate"/>
      </w:r>
      <w:r w:rsidRPr="00395593">
        <w:rPr>
          <w:rStyle w:val="Hyperlink"/>
          <w:rFonts w:cs="Arial"/>
        </w:rPr>
        <w:t>https://www.gov.uk/government/publications/send-code-of</w:t>
      </w:r>
      <w:r w:rsidRPr="00395593">
        <w:rPr>
          <w:rStyle w:val="Hyperlink"/>
          <w:rFonts w:cs="Arial"/>
          <w:lang w:val="en-GB"/>
        </w:rPr>
        <w:t>-</w:t>
      </w:r>
      <w:r w:rsidRPr="00395593">
        <w:rPr>
          <w:rStyle w:val="Hyperlink"/>
          <w:rFonts w:cs="Arial"/>
        </w:rPr>
        <w:t>practice-0-to-25</w:t>
      </w:r>
      <w:r>
        <w:rPr>
          <w:rStyle w:val="Hyperlink"/>
          <w:rFonts w:cs="Arial"/>
        </w:rPr>
        <w:fldChar w:fldCharType="end"/>
      </w:r>
      <w:r w:rsidRPr="00395593">
        <w:rPr>
          <w:rFonts w:cs="Arial"/>
          <w:lang w:val="en-GB"/>
        </w:rPr>
        <w:t>.</w:t>
      </w:r>
    </w:p>
  </w:footnote>
  <w:footnote w:id="54">
    <w:p w14:paraId="42A236BB" w14:textId="60BF061D" w:rsidR="00185E73" w:rsidRPr="00395593" w:rsidRDefault="00185E73" w:rsidP="00395593">
      <w:pPr>
        <w:pStyle w:val="FootnoteText"/>
        <w:spacing w:after="0"/>
        <w:ind w:left="284" w:hanging="284"/>
        <w:rPr>
          <w:rFonts w:cs="Arial"/>
          <w:lang w:val="en-GB"/>
        </w:rPr>
      </w:pPr>
      <w:r w:rsidRPr="00395593">
        <w:rPr>
          <w:rStyle w:val="FootnoteReference"/>
          <w:rFonts w:cs="Arial"/>
        </w:rPr>
        <w:footnoteRef/>
      </w:r>
      <w:r w:rsidRPr="00395593">
        <w:rPr>
          <w:rFonts w:cs="Arial"/>
        </w:rPr>
        <w:t xml:space="preserve"> </w:t>
      </w:r>
      <w:r w:rsidRPr="00395593">
        <w:rPr>
          <w:rFonts w:cs="Arial"/>
        </w:rPr>
        <w:tab/>
      </w:r>
      <w:proofErr w:type="spellStart"/>
      <w:r w:rsidRPr="00395593">
        <w:rPr>
          <w:rFonts w:cs="Arial"/>
          <w:lang w:val="en-GB"/>
        </w:rPr>
        <w:t>Symeonidou</w:t>
      </w:r>
      <w:proofErr w:type="spellEnd"/>
      <w:r w:rsidRPr="00395593">
        <w:rPr>
          <w:rFonts w:cs="Arial"/>
          <w:lang w:val="en-GB"/>
        </w:rPr>
        <w:t xml:space="preserve">, S (2015). Rights of People with Intellectual Disability in Cyprus: Policies and Practices Related to Greater Social and Educational Inclusion. </w:t>
      </w:r>
      <w:r w:rsidRPr="00395593">
        <w:rPr>
          <w:rFonts w:cs="Arial"/>
          <w:i/>
          <w:lang w:val="en-GB"/>
        </w:rPr>
        <w:t>Journal of Policy and Practice in Intellectual Disabilities, 12</w:t>
      </w:r>
      <w:r w:rsidRPr="00395593">
        <w:rPr>
          <w:rFonts w:cs="Arial"/>
          <w:lang w:val="en-GB"/>
        </w:rPr>
        <w:t>(2), 120–131.</w:t>
      </w:r>
    </w:p>
  </w:footnote>
  <w:footnote w:id="55">
    <w:p w14:paraId="641A7CDF" w14:textId="78DD9E03" w:rsidR="00185E73" w:rsidRPr="00395593" w:rsidRDefault="00185E73" w:rsidP="00395593">
      <w:pPr>
        <w:pStyle w:val="FootnoteText"/>
        <w:spacing w:after="0"/>
        <w:ind w:left="284" w:hanging="284"/>
        <w:rPr>
          <w:rFonts w:cs="Arial"/>
          <w:lang w:val="en-GB"/>
        </w:rPr>
      </w:pPr>
      <w:r w:rsidRPr="00395593">
        <w:rPr>
          <w:rStyle w:val="FootnoteReference"/>
          <w:rFonts w:cs="Arial"/>
        </w:rPr>
        <w:footnoteRef/>
      </w:r>
      <w:r w:rsidRPr="00395593">
        <w:rPr>
          <w:rFonts w:cs="Arial"/>
        </w:rPr>
        <w:t xml:space="preserve"> </w:t>
      </w:r>
      <w:r w:rsidRPr="00395593">
        <w:rPr>
          <w:rFonts w:cs="Arial"/>
        </w:rPr>
        <w:tab/>
      </w:r>
      <w:r w:rsidRPr="00395593">
        <w:rPr>
          <w:rFonts w:cs="Arial"/>
          <w:lang w:val="en-GB"/>
        </w:rPr>
        <w:t xml:space="preserve">See </w:t>
      </w:r>
      <w:proofErr w:type="spellStart"/>
      <w:r w:rsidRPr="00395593">
        <w:rPr>
          <w:rFonts w:cs="Arial"/>
          <w:lang w:val="en-GB"/>
        </w:rPr>
        <w:t>Symeonidou</w:t>
      </w:r>
      <w:proofErr w:type="spellEnd"/>
      <w:r w:rsidRPr="00395593">
        <w:rPr>
          <w:rFonts w:cs="Arial"/>
          <w:lang w:val="en-GB"/>
        </w:rPr>
        <w:t xml:space="preserve"> &amp; Mavrou (2014) and Mavrou &amp; </w:t>
      </w:r>
      <w:proofErr w:type="spellStart"/>
      <w:r w:rsidRPr="00395593">
        <w:rPr>
          <w:rFonts w:cs="Arial"/>
          <w:lang w:val="en-GB"/>
        </w:rPr>
        <w:t>Symeonidou</w:t>
      </w:r>
      <w:proofErr w:type="spellEnd"/>
      <w:r w:rsidRPr="00395593">
        <w:rPr>
          <w:rFonts w:cs="Arial"/>
          <w:lang w:val="en-GB"/>
        </w:rPr>
        <w:t xml:space="preserve"> (2013) footnotes 41 &amp; 42.</w:t>
      </w:r>
    </w:p>
  </w:footnote>
  <w:footnote w:id="56">
    <w:p w14:paraId="67356827" w14:textId="42DFDD15" w:rsidR="00185E73" w:rsidRPr="00395593" w:rsidRDefault="00185E73" w:rsidP="00395593">
      <w:pPr>
        <w:pStyle w:val="FootnoteText"/>
        <w:spacing w:after="0"/>
        <w:ind w:left="284" w:hanging="284"/>
        <w:rPr>
          <w:rFonts w:cs="Arial"/>
          <w:lang w:val="en-GB"/>
        </w:rPr>
      </w:pPr>
      <w:r w:rsidRPr="00395593">
        <w:rPr>
          <w:rStyle w:val="FootnoteReference"/>
          <w:rFonts w:cs="Arial"/>
        </w:rPr>
        <w:footnoteRef/>
      </w:r>
      <w:r w:rsidRPr="00395593">
        <w:rPr>
          <w:rFonts w:cs="Arial"/>
        </w:rPr>
        <w:t xml:space="preserve"> </w:t>
      </w:r>
      <w:r w:rsidRPr="00395593">
        <w:rPr>
          <w:rFonts w:cs="Arial"/>
        </w:rPr>
        <w:tab/>
        <w:t xml:space="preserve">Cyprus National Disability Action Plan (2013-2015). Available at </w:t>
      </w:r>
      <w:hyperlink r:id="rId35" w:history="1">
        <w:r w:rsidRPr="00395593">
          <w:rPr>
            <w:rStyle w:val="Hyperlink"/>
            <w:rFonts w:cs="Arial"/>
          </w:rPr>
          <w:t>http://www.mlsi.gov.cy/mlsi/dsid/dsid.nsf/dsipd08_en/dsipd08_en?OpenDocument</w:t>
        </w:r>
      </w:hyperlink>
      <w:r w:rsidRPr="00395593">
        <w:rPr>
          <w:rStyle w:val="Hyperlink"/>
          <w:rFonts w:cs="Arial"/>
          <w:u w:val="none"/>
          <w:lang w:val="en-GB"/>
        </w:rPr>
        <w:t>.</w:t>
      </w:r>
    </w:p>
  </w:footnote>
  <w:footnote w:id="57">
    <w:p w14:paraId="06E984A7" w14:textId="1A4318DC" w:rsidR="00185E73" w:rsidRPr="00395593" w:rsidRDefault="00185E73" w:rsidP="00395593">
      <w:pPr>
        <w:pStyle w:val="FootnoteText"/>
        <w:spacing w:after="0"/>
        <w:ind w:left="284" w:hanging="284"/>
        <w:rPr>
          <w:rFonts w:cs="Arial"/>
          <w:lang w:val="en-GB"/>
        </w:rPr>
      </w:pPr>
      <w:r w:rsidRPr="00395593">
        <w:rPr>
          <w:rStyle w:val="FootnoteReference"/>
          <w:rFonts w:cs="Arial"/>
        </w:rPr>
        <w:footnoteRef/>
      </w:r>
      <w:r w:rsidRPr="00395593">
        <w:rPr>
          <w:rFonts w:cs="Arial"/>
        </w:rPr>
        <w:t xml:space="preserve"> </w:t>
      </w:r>
      <w:r w:rsidRPr="00395593">
        <w:rPr>
          <w:rFonts w:cs="Arial"/>
        </w:rPr>
        <w:tab/>
      </w:r>
      <w:r w:rsidRPr="00395593">
        <w:rPr>
          <w:rFonts w:cs="Arial"/>
          <w:lang w:val="en-GB"/>
        </w:rPr>
        <w:t xml:space="preserve">Commission Staff Working Document Country Report Cyprus 2016. Available at: </w:t>
      </w:r>
      <w:hyperlink r:id="rId36" w:history="1">
        <w:r w:rsidRPr="00395593">
          <w:rPr>
            <w:rStyle w:val="Hyperlink"/>
            <w:rFonts w:cs="Arial"/>
          </w:rPr>
          <w:t>http://ec.europa.eu/europe2020/pdf/csr2016/cr2016_cyprus_en.pdf</w:t>
        </w:r>
      </w:hyperlink>
      <w:r w:rsidRPr="00395593">
        <w:rPr>
          <w:rFonts w:cs="Arial"/>
          <w:lang w:val="en-GB"/>
        </w:rPr>
        <w:t>.</w:t>
      </w:r>
    </w:p>
  </w:footnote>
  <w:footnote w:id="58">
    <w:p w14:paraId="47929E09" w14:textId="77777777" w:rsidR="00185E73" w:rsidRPr="00395593" w:rsidRDefault="00185E73" w:rsidP="00395593">
      <w:pPr>
        <w:pStyle w:val="FootnoteText"/>
        <w:spacing w:after="0"/>
        <w:ind w:left="284" w:hanging="284"/>
        <w:rPr>
          <w:rFonts w:cs="Arial"/>
          <w:lang w:val="en-GB"/>
        </w:rPr>
      </w:pPr>
      <w:r w:rsidRPr="00395593">
        <w:rPr>
          <w:rStyle w:val="FootnoteReference"/>
          <w:rFonts w:cs="Arial"/>
        </w:rPr>
        <w:footnoteRef/>
      </w:r>
      <w:r w:rsidRPr="00395593">
        <w:rPr>
          <w:rFonts w:cs="Arial"/>
        </w:rPr>
        <w:t xml:space="preserve"> </w:t>
      </w:r>
      <w:r w:rsidRPr="00395593">
        <w:rPr>
          <w:rFonts w:cs="Arial"/>
        </w:rPr>
        <w:tab/>
        <w:t xml:space="preserve">Lambrianides D ( 2014) Guaranteed Minimum Income for People with </w:t>
      </w:r>
      <w:r w:rsidRPr="00395593">
        <w:rPr>
          <w:rFonts w:cs="Arial"/>
        </w:rPr>
        <w:t xml:space="preserve">Disabilities Available Online </w:t>
      </w:r>
      <w:r>
        <w:fldChar w:fldCharType="begin"/>
      </w:r>
      <w:r>
        <w:instrText xml:space="preserve"> HYPERLINK "http://offsite.com.cy/elachisto-engiimeno-isodima-ke-atoma-anapiria/" </w:instrText>
      </w:r>
      <w:r>
        <w:fldChar w:fldCharType="separate"/>
      </w:r>
      <w:r w:rsidRPr="00395593">
        <w:rPr>
          <w:rStyle w:val="Hyperlink"/>
          <w:rFonts w:cs="Arial"/>
        </w:rPr>
        <w:t>http://offsite.com.cy/elachisto-engiimeno-isodima-ke-atoma-anapiria/</w:t>
      </w:r>
      <w:r>
        <w:rPr>
          <w:rStyle w:val="Hyperlink"/>
          <w:rFonts w:cs="Arial"/>
        </w:rPr>
        <w:fldChar w:fldCharType="end"/>
      </w:r>
      <w:r w:rsidRPr="00395593">
        <w:rPr>
          <w:rStyle w:val="Hyperlink"/>
          <w:rFonts w:cs="Arial"/>
          <w:u w:val="none"/>
          <w:lang w:val="en-GB"/>
        </w:rPr>
        <w:t>.</w:t>
      </w:r>
    </w:p>
  </w:footnote>
  <w:footnote w:id="59">
    <w:p w14:paraId="5EC58EEB" w14:textId="77777777" w:rsidR="00185E73" w:rsidRPr="00395593" w:rsidRDefault="00185E73" w:rsidP="00395593">
      <w:pPr>
        <w:pStyle w:val="FootnoteText"/>
        <w:spacing w:after="0"/>
        <w:ind w:left="284" w:hanging="284"/>
        <w:rPr>
          <w:rFonts w:cs="Arial"/>
          <w:lang w:val="en-GB"/>
        </w:rPr>
      </w:pPr>
      <w:r w:rsidRPr="00395593">
        <w:rPr>
          <w:rStyle w:val="FootnoteReference"/>
          <w:rFonts w:cs="Arial"/>
        </w:rPr>
        <w:footnoteRef/>
      </w:r>
      <w:r w:rsidRPr="00395593">
        <w:rPr>
          <w:rFonts w:cs="Arial"/>
        </w:rPr>
        <w:t xml:space="preserve"> </w:t>
      </w:r>
      <w:r w:rsidRPr="00395593">
        <w:rPr>
          <w:rFonts w:cs="Arial"/>
        </w:rPr>
        <w:tab/>
        <w:t xml:space="preserve">The Guaranteed Minimum Income Law- Ο Περί Ελάχιστου Εγγυημένου Εισοδήματος και Γενικότερα περί Κοινωνικών Παροχών Νόμος του 2014 (109(Ι)/2014) </w:t>
      </w:r>
      <w:r w:rsidRPr="00395593">
        <w:rPr>
          <w:rFonts w:cs="Arial"/>
        </w:rPr>
        <w:t xml:space="preserve">Available online at:  </w:t>
      </w:r>
      <w:r>
        <w:fldChar w:fldCharType="begin"/>
      </w:r>
      <w:r>
        <w:instrText xml:space="preserve"> HYPERLINK "http://www.cylaw.org/nomoi/enop/non-ind/2014_1_109/full.html" </w:instrText>
      </w:r>
      <w:r>
        <w:fldChar w:fldCharType="separate"/>
      </w:r>
      <w:r w:rsidRPr="00395593">
        <w:rPr>
          <w:rStyle w:val="Hyperlink"/>
          <w:rFonts w:cs="Arial"/>
        </w:rPr>
        <w:t>http://www.cylaw.org/nomoi/enop/non-ind/2014_1_109/full.html</w:t>
      </w:r>
      <w:r>
        <w:rPr>
          <w:rStyle w:val="Hyperlink"/>
          <w:rFonts w:cs="Arial"/>
        </w:rPr>
        <w:fldChar w:fldCharType="end"/>
      </w:r>
      <w:r w:rsidRPr="00395593">
        <w:rPr>
          <w:rFonts w:cs="Arial"/>
          <w:lang w:val="en-GB"/>
        </w:rPr>
        <w:t xml:space="preserve"> </w:t>
      </w:r>
      <w:r w:rsidRPr="00395593">
        <w:rPr>
          <w:rFonts w:cs="Arial"/>
        </w:rPr>
        <w:t xml:space="preserve"> ( last accessed 27 October 2015)</w:t>
      </w:r>
      <w:r w:rsidRPr="00395593">
        <w:rPr>
          <w:rFonts w:cs="Arial"/>
          <w:lang w:val="en-GB"/>
        </w:rPr>
        <w:t>.</w:t>
      </w:r>
    </w:p>
  </w:footnote>
  <w:footnote w:id="60">
    <w:p w14:paraId="5C08AA6E" w14:textId="77777777" w:rsidR="00185E73" w:rsidRPr="00395593" w:rsidRDefault="00185E73" w:rsidP="00395593">
      <w:pPr>
        <w:pStyle w:val="FootnoteText"/>
        <w:spacing w:after="0"/>
        <w:ind w:left="284" w:hanging="284"/>
        <w:rPr>
          <w:rFonts w:cs="Arial"/>
        </w:rPr>
      </w:pPr>
      <w:r w:rsidRPr="00395593">
        <w:rPr>
          <w:rStyle w:val="FootnoteReference"/>
          <w:rFonts w:cs="Arial"/>
        </w:rPr>
        <w:footnoteRef/>
      </w:r>
      <w:r w:rsidRPr="00395593">
        <w:rPr>
          <w:rFonts w:cs="Arial"/>
        </w:rPr>
        <w:t xml:space="preserve"> </w:t>
      </w:r>
      <w:r w:rsidRPr="00395593">
        <w:rPr>
          <w:rFonts w:cs="Arial"/>
        </w:rPr>
        <w:tab/>
        <w:t xml:space="preserve">Liasidou, A (2013): The cross-fertilization of critical race theory and Disability Studies: points of convergence/ divergence and some education policy implications, </w:t>
      </w:r>
      <w:r w:rsidRPr="00395593">
        <w:rPr>
          <w:rFonts w:cs="Arial"/>
          <w:i/>
        </w:rPr>
        <w:t>Disability &amp; Society</w:t>
      </w:r>
      <w:r w:rsidRPr="00395593">
        <w:rPr>
          <w:rFonts w:cs="Arial"/>
        </w:rPr>
        <w:t>, DOI: 10.1080/09687599.2013.844104.</w:t>
      </w:r>
    </w:p>
  </w:footnote>
  <w:footnote w:id="61">
    <w:p w14:paraId="537F2EBA" w14:textId="77777777" w:rsidR="00185E73" w:rsidRPr="00395593" w:rsidRDefault="00185E73" w:rsidP="00395593">
      <w:pPr>
        <w:pStyle w:val="FootnoteText"/>
        <w:spacing w:after="0"/>
        <w:ind w:left="284" w:hanging="284"/>
        <w:rPr>
          <w:rFonts w:cs="Arial"/>
          <w:lang w:val="en-GB"/>
        </w:rPr>
      </w:pPr>
      <w:r w:rsidRPr="00395593">
        <w:rPr>
          <w:rStyle w:val="FootnoteReference"/>
          <w:rFonts w:cs="Arial"/>
        </w:rPr>
        <w:footnoteRef/>
      </w:r>
      <w:r w:rsidRPr="00395593">
        <w:rPr>
          <w:rFonts w:cs="Arial"/>
        </w:rPr>
        <w:t xml:space="preserve"> </w:t>
      </w:r>
      <w:r w:rsidRPr="00395593">
        <w:rPr>
          <w:rFonts w:cs="Arial"/>
        </w:rPr>
        <w:tab/>
        <w:t>Davis, K. 2008. “Intersectionality as Buzzword: A Sociology of Science Perspective on Whatmakes A Feminist Theory Successful.” Feminist Theory 9: 67–85. doi:10.1177/1464700108086364</w:t>
      </w:r>
      <w:r w:rsidRPr="00395593">
        <w:rPr>
          <w:rFonts w:cs="Arial"/>
          <w:lang w:val="en-GB"/>
        </w:rPr>
        <w:t>.</w:t>
      </w:r>
    </w:p>
  </w:footnote>
  <w:footnote w:id="62">
    <w:p w14:paraId="51307D92" w14:textId="77777777" w:rsidR="00185E73" w:rsidRPr="00395593" w:rsidRDefault="00185E73" w:rsidP="00395593">
      <w:pPr>
        <w:pStyle w:val="NormalWeb"/>
        <w:spacing w:after="0"/>
        <w:ind w:left="284" w:hanging="284"/>
        <w:contextualSpacing/>
        <w:rPr>
          <w:rFonts w:cs="Arial"/>
          <w:sz w:val="20"/>
          <w:szCs w:val="20"/>
        </w:rPr>
      </w:pPr>
      <w:r w:rsidRPr="00395593">
        <w:rPr>
          <w:rStyle w:val="FootnoteReference"/>
          <w:rFonts w:cs="Arial"/>
          <w:sz w:val="20"/>
          <w:szCs w:val="20"/>
        </w:rPr>
        <w:footnoteRef/>
      </w:r>
      <w:r w:rsidRPr="00395593">
        <w:rPr>
          <w:rFonts w:cs="Arial"/>
          <w:sz w:val="20"/>
          <w:szCs w:val="20"/>
        </w:rPr>
        <w:t xml:space="preserve"> </w:t>
      </w:r>
      <w:r w:rsidRPr="00395593">
        <w:rPr>
          <w:rFonts w:cs="Arial"/>
          <w:sz w:val="20"/>
          <w:szCs w:val="20"/>
        </w:rPr>
        <w:tab/>
      </w:r>
      <w:r w:rsidRPr="00395593">
        <w:rPr>
          <w:rFonts w:cs="Arial"/>
          <w:sz w:val="20"/>
          <w:szCs w:val="20"/>
          <w:lang w:val="en-US" w:eastAsia="el-GR"/>
        </w:rPr>
        <w:t xml:space="preserve">Liasidou, A. (2013): Intersectional understandings of disability and implications for a social justice reform agenda in education policy and practice, Disability &amp; Society, 28(3) 299-312. </w:t>
      </w:r>
    </w:p>
  </w:footnote>
  <w:footnote w:id="63">
    <w:p w14:paraId="4C4E2860" w14:textId="77777777" w:rsidR="00185E73" w:rsidRPr="00395593" w:rsidRDefault="00185E73" w:rsidP="00395593">
      <w:pPr>
        <w:pStyle w:val="NormalWeb"/>
        <w:spacing w:after="0"/>
        <w:ind w:left="284" w:hanging="284"/>
        <w:contextualSpacing/>
        <w:rPr>
          <w:rFonts w:cs="Arial"/>
          <w:sz w:val="20"/>
          <w:szCs w:val="20"/>
        </w:rPr>
      </w:pPr>
      <w:r w:rsidRPr="00395593">
        <w:rPr>
          <w:rStyle w:val="FootnoteReference"/>
          <w:rFonts w:cs="Arial"/>
          <w:sz w:val="20"/>
          <w:szCs w:val="20"/>
        </w:rPr>
        <w:footnoteRef/>
      </w:r>
      <w:r w:rsidRPr="00395593">
        <w:rPr>
          <w:rFonts w:cs="Arial"/>
          <w:sz w:val="20"/>
          <w:szCs w:val="20"/>
        </w:rPr>
        <w:t xml:space="preserve"> </w:t>
      </w:r>
      <w:r w:rsidRPr="00395593">
        <w:rPr>
          <w:rFonts w:cs="Arial"/>
          <w:sz w:val="20"/>
          <w:szCs w:val="20"/>
        </w:rPr>
        <w:tab/>
      </w:r>
      <w:r w:rsidRPr="00395593">
        <w:rPr>
          <w:rFonts w:cs="Arial"/>
          <w:sz w:val="20"/>
          <w:szCs w:val="20"/>
          <w:lang w:val="en-US"/>
        </w:rPr>
        <w:t xml:space="preserve">Liasidou, A. (2014) </w:t>
      </w:r>
      <w:r w:rsidRPr="00395593">
        <w:rPr>
          <w:rFonts w:cs="Arial"/>
          <w:bCs/>
          <w:color w:val="2B2B2B"/>
          <w:sz w:val="20"/>
          <w:szCs w:val="20"/>
          <w:lang w:val="en-US"/>
        </w:rPr>
        <w:t>Critical Disability Studies and Socially Just Change in Higher</w:t>
      </w:r>
      <w:r w:rsidRPr="00395593">
        <w:rPr>
          <w:rFonts w:cs="Arial"/>
          <w:sz w:val="20"/>
          <w:szCs w:val="20"/>
          <w:lang w:val="en-US"/>
        </w:rPr>
        <w:t xml:space="preserve"> </w:t>
      </w:r>
      <w:r w:rsidRPr="00395593">
        <w:rPr>
          <w:rFonts w:cs="Arial"/>
          <w:bCs/>
          <w:color w:val="2B2B2B"/>
          <w:sz w:val="20"/>
          <w:szCs w:val="20"/>
          <w:lang w:val="en-US"/>
        </w:rPr>
        <w:t>Education. British Journal of Special Education</w:t>
      </w:r>
      <w:r w:rsidRPr="00395593">
        <w:rPr>
          <w:rFonts w:cs="Arial"/>
          <w:sz w:val="20"/>
          <w:szCs w:val="20"/>
          <w:lang w:val="en-US"/>
        </w:rPr>
        <w:t>, 41 (2), 120–135.</w:t>
      </w:r>
    </w:p>
  </w:footnote>
  <w:footnote w:id="64">
    <w:p w14:paraId="6D6FB8A6" w14:textId="77777777" w:rsidR="00185E73" w:rsidRPr="00395593" w:rsidRDefault="00185E73" w:rsidP="00395593">
      <w:pPr>
        <w:pStyle w:val="FootnoteText"/>
        <w:spacing w:after="0"/>
        <w:ind w:left="284" w:hanging="284"/>
        <w:rPr>
          <w:rFonts w:cs="Arial"/>
        </w:rPr>
      </w:pPr>
      <w:r w:rsidRPr="00395593">
        <w:rPr>
          <w:rStyle w:val="FootnoteReference"/>
          <w:rFonts w:cs="Arial"/>
        </w:rPr>
        <w:footnoteRef/>
      </w:r>
      <w:r w:rsidRPr="00395593">
        <w:rPr>
          <w:rFonts w:cs="Arial"/>
        </w:rPr>
        <w:t xml:space="preserve"> </w:t>
      </w:r>
      <w:r w:rsidRPr="00395593">
        <w:rPr>
          <w:rFonts w:cs="Arial"/>
        </w:rPr>
        <w:tab/>
        <w:t xml:space="preserve">Skjeie, H., &amp; Langvasbråten, T. (2009). Intersectionality in practice? </w:t>
      </w:r>
      <w:r w:rsidRPr="00395593">
        <w:rPr>
          <w:rFonts w:cs="Arial"/>
          <w:i/>
        </w:rPr>
        <w:t>International Feminist Journal of Politics, 11</w:t>
      </w:r>
      <w:r w:rsidRPr="00395593">
        <w:rPr>
          <w:rFonts w:cs="Arial"/>
        </w:rPr>
        <w:t>(4), 513–29.</w:t>
      </w:r>
    </w:p>
  </w:footnote>
  <w:footnote w:id="65">
    <w:p w14:paraId="720BA6F9" w14:textId="77777777" w:rsidR="00185E73" w:rsidRPr="00395593" w:rsidRDefault="00185E73" w:rsidP="00395593">
      <w:pPr>
        <w:pStyle w:val="FootnoteText"/>
        <w:spacing w:after="0"/>
        <w:ind w:left="284" w:hanging="284"/>
        <w:rPr>
          <w:rFonts w:cs="Arial"/>
        </w:rPr>
      </w:pPr>
      <w:r w:rsidRPr="00395593">
        <w:rPr>
          <w:rStyle w:val="FootnoteReference"/>
          <w:rFonts w:cs="Arial"/>
        </w:rPr>
        <w:footnoteRef/>
      </w:r>
      <w:r w:rsidRPr="00395593">
        <w:rPr>
          <w:rFonts w:cs="Arial"/>
        </w:rPr>
        <w:t xml:space="preserve"> </w:t>
      </w:r>
      <w:r w:rsidRPr="00395593">
        <w:rPr>
          <w:rFonts w:cs="Arial"/>
        </w:rPr>
        <w:tab/>
        <w:t>Davis, A. N. 2013. “Intersectionality and International Law: Recognizing Complex Identities on the Global Stage.” Harvard Human Rights Journal 28: 205–242.</w:t>
      </w:r>
    </w:p>
  </w:footnote>
  <w:footnote w:id="66">
    <w:p w14:paraId="4411833C" w14:textId="77777777" w:rsidR="00185E73" w:rsidRPr="00395593" w:rsidRDefault="00185E73" w:rsidP="00395593">
      <w:pPr>
        <w:pStyle w:val="FootnoteText"/>
        <w:spacing w:after="0"/>
        <w:ind w:left="284" w:hanging="284"/>
        <w:rPr>
          <w:rFonts w:cs="Arial"/>
          <w:lang w:val="en-GB"/>
        </w:rPr>
      </w:pPr>
      <w:r w:rsidRPr="00395593">
        <w:rPr>
          <w:rStyle w:val="FootnoteReference"/>
          <w:rFonts w:cs="Arial"/>
        </w:rPr>
        <w:footnoteRef/>
      </w:r>
      <w:r w:rsidRPr="00395593">
        <w:rPr>
          <w:rFonts w:cs="Arial"/>
        </w:rPr>
        <w:t xml:space="preserve"> </w:t>
      </w:r>
      <w:r w:rsidRPr="00395593">
        <w:rPr>
          <w:rFonts w:cs="Arial"/>
        </w:rPr>
        <w:tab/>
        <w:t>Cassidy, W., and M. Jackson. 2005. “The Need for Equality in Education: Anintersectional Examination of Labelling and Zero Tolerance Policies.” McGill Journal of Education 40 (3): 435–456</w:t>
      </w:r>
      <w:r w:rsidRPr="00395593">
        <w:rPr>
          <w:rFonts w:cs="Arial"/>
          <w:lang w:val="en-GB"/>
        </w:rPr>
        <w:t>.</w:t>
      </w:r>
    </w:p>
  </w:footnote>
  <w:footnote w:id="67">
    <w:p w14:paraId="6EE47A79" w14:textId="77777777" w:rsidR="00185E73" w:rsidRPr="00395593" w:rsidRDefault="00185E73" w:rsidP="00395593">
      <w:pPr>
        <w:pStyle w:val="FootnoteText"/>
        <w:spacing w:after="0"/>
        <w:ind w:left="284" w:hanging="284"/>
        <w:rPr>
          <w:rFonts w:cs="Arial"/>
        </w:rPr>
      </w:pPr>
      <w:r w:rsidRPr="00395593">
        <w:rPr>
          <w:rStyle w:val="FootnoteReference"/>
          <w:rFonts w:cs="Arial"/>
        </w:rPr>
        <w:footnoteRef/>
      </w:r>
      <w:r w:rsidRPr="00395593">
        <w:rPr>
          <w:rFonts w:cs="Arial"/>
        </w:rPr>
        <w:t xml:space="preserve"> </w:t>
      </w:r>
      <w:r w:rsidRPr="00395593">
        <w:rPr>
          <w:rFonts w:cs="Arial"/>
        </w:rPr>
        <w:tab/>
        <w:t>Rothstein, L., and S. Johnson. 2010. Special Education Law. London: Sage.</w:t>
      </w:r>
    </w:p>
  </w:footnote>
  <w:footnote w:id="68">
    <w:p w14:paraId="4E3B6074" w14:textId="77777777" w:rsidR="00185E73" w:rsidRPr="00395593" w:rsidRDefault="00185E73" w:rsidP="00395593">
      <w:pPr>
        <w:pStyle w:val="FootnoteText"/>
        <w:spacing w:after="0"/>
        <w:ind w:left="284" w:hanging="284"/>
        <w:rPr>
          <w:rFonts w:cs="Arial"/>
        </w:rPr>
      </w:pPr>
      <w:r w:rsidRPr="00395593">
        <w:rPr>
          <w:rStyle w:val="FootnoteReference"/>
          <w:rFonts w:cs="Arial"/>
        </w:rPr>
        <w:footnoteRef/>
      </w:r>
      <w:r w:rsidRPr="00395593">
        <w:rPr>
          <w:rFonts w:cs="Arial"/>
        </w:rPr>
        <w:t xml:space="preserve"> </w:t>
      </w:r>
      <w:r w:rsidRPr="00395593">
        <w:rPr>
          <w:rFonts w:cs="Arial"/>
        </w:rPr>
        <w:tab/>
      </w:r>
      <w:r w:rsidRPr="00395593">
        <w:rPr>
          <w:rFonts w:cs="Arial"/>
          <w:color w:val="000000"/>
          <w:shd w:val="clear" w:color="auto" w:fill="FFFFFF"/>
        </w:rPr>
        <w:t xml:space="preserve">Department for Social Inclusion of Persons with Disabilities/Ministry of Labour and Social Insurance. (2013). First Report of Cyprus for the implementation of the UN convention on the rights of persons with disabilities. Nicosia: Department for Social Inclusion of Persons with Disabilities/Ministry of Labour and Social Insurance. Available at: </w:t>
      </w:r>
      <w:hyperlink r:id="rId37" w:history="1">
        <w:r w:rsidRPr="00395593">
          <w:rPr>
            <w:rStyle w:val="Hyperlink"/>
            <w:rFonts w:cs="Arial"/>
            <w:shd w:val="clear" w:color="auto" w:fill="FFFFFF"/>
          </w:rPr>
          <w:t>http://www.mlsi.gov.cy/mlsi/dsid/dsid.nsf/A8A5F20B4E23E622C2257A7C002CEBC5/$file/FINAL%20First%20CY%20Report%20on%20the%20UNCRPD.doc</w:t>
        </w:r>
      </w:hyperlink>
      <w:r w:rsidRPr="00395593">
        <w:rPr>
          <w:rStyle w:val="Hyperlink"/>
          <w:rFonts w:cs="Arial"/>
          <w:shd w:val="clear" w:color="auto" w:fill="FFFFFF"/>
        </w:rPr>
        <w:t>.</w:t>
      </w:r>
      <w:r w:rsidRPr="00395593">
        <w:rPr>
          <w:rFonts w:cs="Arial"/>
          <w:color w:val="000000"/>
          <w:shd w:val="clear" w:color="auto" w:fill="FFFFFF"/>
        </w:rPr>
        <w:t xml:space="preserve"> </w:t>
      </w:r>
    </w:p>
  </w:footnote>
  <w:footnote w:id="69">
    <w:p w14:paraId="56F01C94" w14:textId="77777777" w:rsidR="00185E73" w:rsidRPr="00395593" w:rsidRDefault="00185E73" w:rsidP="00395593">
      <w:pPr>
        <w:pStyle w:val="FootnoteText"/>
        <w:spacing w:after="0"/>
        <w:ind w:left="284" w:hanging="284"/>
        <w:rPr>
          <w:rFonts w:cs="Arial"/>
        </w:rPr>
      </w:pPr>
      <w:r w:rsidRPr="00395593">
        <w:rPr>
          <w:rStyle w:val="FootnoteReference"/>
          <w:rFonts w:cs="Arial"/>
        </w:rPr>
        <w:footnoteRef/>
      </w:r>
      <w:r w:rsidRPr="00395593">
        <w:rPr>
          <w:rFonts w:cs="Arial"/>
        </w:rPr>
        <w:t xml:space="preserve"> </w:t>
      </w:r>
      <w:r w:rsidRPr="00395593">
        <w:rPr>
          <w:rFonts w:cs="Arial"/>
        </w:rPr>
        <w:tab/>
      </w:r>
      <w:r w:rsidRPr="00395593">
        <w:rPr>
          <w:rFonts w:cs="Arial"/>
          <w:color w:val="000000"/>
          <w:shd w:val="clear" w:color="auto" w:fill="FFFFFF"/>
        </w:rPr>
        <w:t>Liasidou, A. (2014): Disabling discourses and human rights law: a case study based on the implementation of the UN Convention on the Rights of People with Disabilities,</w:t>
      </w:r>
      <w:r w:rsidRPr="00395593">
        <w:rPr>
          <w:rStyle w:val="apple-converted-space"/>
          <w:rFonts w:cs="Arial"/>
          <w:b/>
          <w:bCs/>
          <w:color w:val="000000"/>
          <w:shd w:val="clear" w:color="auto" w:fill="FFFFFF"/>
        </w:rPr>
        <w:t> </w:t>
      </w:r>
      <w:r w:rsidRPr="00395593">
        <w:rPr>
          <w:rFonts w:cs="Arial"/>
          <w:i/>
          <w:color w:val="000000"/>
          <w:shd w:val="clear" w:color="auto" w:fill="FFFFFF"/>
        </w:rPr>
        <w:t>Discourse:</w:t>
      </w:r>
      <w:r w:rsidRPr="00395593">
        <w:rPr>
          <w:rFonts w:cs="Arial"/>
          <w:color w:val="000000"/>
          <w:shd w:val="clear" w:color="auto" w:fill="FFFFFF"/>
        </w:rPr>
        <w:t xml:space="preserve"> </w:t>
      </w:r>
      <w:r w:rsidRPr="00395593">
        <w:rPr>
          <w:rFonts w:cs="Arial"/>
          <w:i/>
          <w:color w:val="000000"/>
          <w:shd w:val="clear" w:color="auto" w:fill="FFFFFF"/>
        </w:rPr>
        <w:t>Studies in the Cultural Politics of Education</w:t>
      </w:r>
      <w:r w:rsidRPr="00395593">
        <w:rPr>
          <w:rFonts w:cs="Arial"/>
          <w:color w:val="000000"/>
          <w:shd w:val="clear" w:color="auto" w:fill="FFFFFF"/>
        </w:rPr>
        <w:t>, DOI: 10.1080/01596306.2014.936928.</w:t>
      </w:r>
    </w:p>
  </w:footnote>
  <w:footnote w:id="70">
    <w:p w14:paraId="54853CD2" w14:textId="74A952AC" w:rsidR="00185E73" w:rsidRPr="00395593" w:rsidRDefault="00185E73" w:rsidP="00395593">
      <w:pPr>
        <w:pStyle w:val="FootnoteText"/>
        <w:spacing w:after="0"/>
        <w:ind w:left="284" w:hanging="284"/>
        <w:rPr>
          <w:rFonts w:cs="Arial"/>
          <w:lang w:val="en-GB"/>
        </w:rPr>
      </w:pPr>
      <w:r w:rsidRPr="00395593">
        <w:rPr>
          <w:rStyle w:val="FootnoteReference"/>
          <w:rFonts w:cs="Arial"/>
        </w:rPr>
        <w:footnoteRef/>
      </w:r>
      <w:r w:rsidRPr="00395593">
        <w:rPr>
          <w:rFonts w:cs="Arial"/>
        </w:rPr>
        <w:t xml:space="preserve"> </w:t>
      </w:r>
      <w:r w:rsidRPr="00395593">
        <w:rPr>
          <w:rFonts w:cs="Arial"/>
        </w:rPr>
        <w:tab/>
      </w:r>
      <w:r w:rsidRPr="00395593">
        <w:rPr>
          <w:rFonts w:cs="Arial"/>
          <w:lang w:val="en-GB"/>
        </w:rPr>
        <w:t>Information from personal communication of country experts with Parents’ association representatives (</w:t>
      </w:r>
      <w:hyperlink r:id="rId38" w:history="1">
        <w:r w:rsidRPr="00395593">
          <w:rPr>
            <w:rStyle w:val="Hyperlink"/>
            <w:rFonts w:cs="Arial"/>
            <w:lang w:val="en-GB"/>
          </w:rPr>
          <w:t>http://mazi4autism.com/index.php/en/</w:t>
        </w:r>
      </w:hyperlink>
      <w:r w:rsidRPr="00395593">
        <w:rPr>
          <w:rFonts w:cs="Arial"/>
          <w:lang w:val="en-GB"/>
        </w:rPr>
        <w:t>).</w:t>
      </w:r>
    </w:p>
  </w:footnote>
  <w:footnote w:id="71">
    <w:p w14:paraId="167B2314" w14:textId="77777777" w:rsidR="00185E73" w:rsidRPr="00395593" w:rsidRDefault="00185E73" w:rsidP="00395593">
      <w:pPr>
        <w:pStyle w:val="FootnoteText"/>
        <w:spacing w:after="0"/>
        <w:ind w:left="284" w:hanging="284"/>
        <w:rPr>
          <w:rFonts w:cs="Arial"/>
          <w:lang w:val="en-GB"/>
        </w:rPr>
      </w:pPr>
      <w:r w:rsidRPr="00395593">
        <w:rPr>
          <w:rStyle w:val="FootnoteReference"/>
          <w:rFonts w:cs="Arial"/>
        </w:rPr>
        <w:footnoteRef/>
      </w:r>
      <w:r w:rsidRPr="00395593">
        <w:rPr>
          <w:rFonts w:cs="Arial"/>
        </w:rPr>
        <w:t xml:space="preserve"> </w:t>
      </w:r>
      <w:r w:rsidRPr="00395593">
        <w:rPr>
          <w:rFonts w:cs="Arial"/>
        </w:rPr>
        <w:tab/>
      </w:r>
      <w:proofErr w:type="spellStart"/>
      <w:r w:rsidRPr="00395593">
        <w:rPr>
          <w:rFonts w:cs="Arial"/>
          <w:lang w:val="en-GB"/>
        </w:rPr>
        <w:t>Symeonidou</w:t>
      </w:r>
      <w:proofErr w:type="spellEnd"/>
      <w:r w:rsidRPr="00395593">
        <w:rPr>
          <w:rFonts w:cs="Arial"/>
          <w:lang w:val="en-GB"/>
        </w:rPr>
        <w:t xml:space="preserve">, S (2015). Rights of People with Intellectual Disability in Cyprus: Policies and Practices Related to Greater Social and Educational Inclusion. </w:t>
      </w:r>
      <w:r w:rsidRPr="00395593">
        <w:rPr>
          <w:rFonts w:cs="Arial"/>
          <w:i/>
          <w:lang w:val="en-GB"/>
        </w:rPr>
        <w:t>Journal of Policy and Practice in Intellectual Disabilities, 12</w:t>
      </w:r>
      <w:r w:rsidRPr="00395593">
        <w:rPr>
          <w:rFonts w:cs="Arial"/>
          <w:lang w:val="en-GB"/>
        </w:rPr>
        <w:t>(2), 120–131.</w:t>
      </w:r>
    </w:p>
  </w:footnote>
  <w:footnote w:id="72">
    <w:p w14:paraId="0CFD6121" w14:textId="0C30EC93" w:rsidR="00185E73" w:rsidRPr="00395593" w:rsidRDefault="00185E73" w:rsidP="00395593">
      <w:pPr>
        <w:pStyle w:val="FootnoteText"/>
        <w:spacing w:after="0"/>
        <w:ind w:left="284" w:hanging="284"/>
        <w:rPr>
          <w:rFonts w:cs="Arial"/>
          <w:lang w:val="en-GB"/>
        </w:rPr>
      </w:pPr>
      <w:r w:rsidRPr="00395593">
        <w:rPr>
          <w:rStyle w:val="FootnoteReference"/>
          <w:rFonts w:cs="Arial"/>
        </w:rPr>
        <w:footnoteRef/>
      </w:r>
      <w:r w:rsidRPr="00395593">
        <w:rPr>
          <w:rFonts w:cs="Arial"/>
        </w:rPr>
        <w:t xml:space="preserve"> </w:t>
      </w:r>
      <w:r w:rsidRPr="00395593">
        <w:rPr>
          <w:rFonts w:cs="Arial"/>
        </w:rPr>
        <w:tab/>
      </w:r>
      <w:r w:rsidRPr="00395593">
        <w:rPr>
          <w:rFonts w:cs="Arial"/>
          <w:lang w:val="en-GB"/>
        </w:rPr>
        <w:t>Cyprus country report (2014): Accessibility to Healthcare. Available at:</w:t>
      </w:r>
      <w:r w:rsidRPr="00395593">
        <w:rPr>
          <w:rFonts w:cs="Arial"/>
        </w:rPr>
        <w:t xml:space="preserve"> </w:t>
      </w:r>
      <w:hyperlink r:id="rId39" w:history="1">
        <w:r w:rsidRPr="00395593">
          <w:rPr>
            <w:rStyle w:val="Hyperlink"/>
            <w:rFonts w:cs="Arial"/>
          </w:rPr>
          <w:t>http://www.disability-europe.net/content/aned/media/ANED%202014%20-%20Task%203%20-%20CY%20-%20final.doc</w:t>
        </w:r>
      </w:hyperlink>
      <w:r w:rsidRPr="00395593">
        <w:rPr>
          <w:rFonts w:cs="Arial"/>
          <w:lang w:val="en-GB"/>
        </w:rPr>
        <w:t>.</w:t>
      </w:r>
    </w:p>
  </w:footnote>
  <w:footnote w:id="73">
    <w:p w14:paraId="6F83DE91" w14:textId="5686A187" w:rsidR="00185E73" w:rsidRPr="00395593" w:rsidRDefault="00185E73" w:rsidP="00395593">
      <w:pPr>
        <w:pStyle w:val="FootnoteText"/>
        <w:spacing w:after="0"/>
        <w:ind w:left="284" w:hanging="284"/>
        <w:rPr>
          <w:rFonts w:cs="Arial"/>
          <w:lang w:val="en-GB"/>
        </w:rPr>
      </w:pPr>
      <w:r w:rsidRPr="00395593">
        <w:rPr>
          <w:rStyle w:val="FootnoteReference"/>
          <w:rFonts w:cs="Arial"/>
        </w:rPr>
        <w:footnoteRef/>
      </w:r>
      <w:r w:rsidRPr="00395593">
        <w:rPr>
          <w:rFonts w:cs="Arial"/>
        </w:rPr>
        <w:t xml:space="preserve"> </w:t>
      </w:r>
      <w:r w:rsidRPr="00395593">
        <w:rPr>
          <w:rFonts w:cs="Arial"/>
        </w:rPr>
        <w:tab/>
      </w:r>
      <w:r w:rsidRPr="00395593">
        <w:rPr>
          <w:rFonts w:cs="Arial"/>
          <w:lang w:val="en-GB"/>
        </w:rPr>
        <w:t xml:space="preserve">Cyprus country report (2014): Accessibility of Healthcare. Available at: </w:t>
      </w:r>
      <w:hyperlink r:id="rId40" w:history="1">
        <w:r w:rsidRPr="00395593">
          <w:rPr>
            <w:rStyle w:val="Hyperlink"/>
            <w:rFonts w:cs="Arial"/>
          </w:rPr>
          <w:t>http://www.disability-europe.net/content/aned/media/ANED%202014%20-%20Task%204%20-%20CY%20-%20final.doc</w:t>
        </w:r>
      </w:hyperlink>
      <w:r w:rsidRPr="00395593">
        <w:rPr>
          <w:rFonts w:cs="Arial"/>
          <w:lang w:val="en-GB"/>
        </w:rPr>
        <w:t>.</w:t>
      </w:r>
    </w:p>
  </w:footnote>
  <w:footnote w:id="74">
    <w:p w14:paraId="30FE47A1" w14:textId="77777777" w:rsidR="00185E73" w:rsidRPr="00395593" w:rsidRDefault="00185E73" w:rsidP="00395593">
      <w:pPr>
        <w:pStyle w:val="FootnoteText"/>
        <w:spacing w:after="0"/>
        <w:ind w:left="284" w:hanging="284"/>
        <w:rPr>
          <w:rFonts w:cs="Arial"/>
        </w:rPr>
      </w:pPr>
      <w:r w:rsidRPr="00395593">
        <w:rPr>
          <w:rStyle w:val="FootnoteReference"/>
          <w:rFonts w:cs="Arial"/>
        </w:rPr>
        <w:footnoteRef/>
      </w:r>
      <w:r w:rsidRPr="00395593">
        <w:rPr>
          <w:rFonts w:cs="Arial"/>
        </w:rPr>
        <w:t xml:space="preserve"> </w:t>
      </w:r>
      <w:r w:rsidRPr="00395593">
        <w:rPr>
          <w:rFonts w:cs="Arial"/>
        </w:rPr>
        <w:tab/>
        <w:t xml:space="preserve">Serious problems for rheumatology patients in Larnaca. Available online </w:t>
      </w:r>
      <w:r w:rsidRPr="00395593">
        <w:rPr>
          <w:rFonts w:cs="Arial"/>
        </w:rPr>
        <w:t xml:space="preserve">at </w:t>
      </w:r>
      <w:r>
        <w:fldChar w:fldCharType="begin"/>
      </w:r>
      <w:r>
        <w:instrText xml:space="preserve"> HYPERLINK "http://www.ant1iwo.com/news/cyprus/article/212335/sovara-provlimata-gia-tous-reumatopatheis-sti-larnaka-/" </w:instrText>
      </w:r>
      <w:r>
        <w:fldChar w:fldCharType="separate"/>
      </w:r>
      <w:r w:rsidRPr="00395593">
        <w:rPr>
          <w:rStyle w:val="Hyperlink"/>
          <w:rFonts w:cs="Arial"/>
        </w:rPr>
        <w:t>http://www.ant1iwo.com/news/cyprus/article/212335/sovara-provlimata-gia-tous-reumatopatheis-sti-larnaka-/</w:t>
      </w:r>
      <w:r>
        <w:rPr>
          <w:rStyle w:val="Hyperlink"/>
          <w:rFonts w:cs="Arial"/>
        </w:rPr>
        <w:fldChar w:fldCharType="end"/>
      </w:r>
      <w:r w:rsidRPr="00395593">
        <w:rPr>
          <w:rFonts w:cs="Arial"/>
          <w:lang w:val="en-GB"/>
        </w:rPr>
        <w:t>.</w:t>
      </w:r>
      <w:r w:rsidRPr="00395593">
        <w:rPr>
          <w:rFonts w:cs="Arial"/>
        </w:rPr>
        <w:t xml:space="preserve"> </w:t>
      </w:r>
    </w:p>
  </w:footnote>
  <w:footnote w:id="75">
    <w:p w14:paraId="260EB525" w14:textId="0B283CB4" w:rsidR="00185E73" w:rsidRPr="00395593" w:rsidRDefault="00185E73" w:rsidP="00395593">
      <w:pPr>
        <w:pStyle w:val="FootnoteText"/>
        <w:spacing w:after="0"/>
        <w:ind w:left="284" w:hanging="284"/>
        <w:rPr>
          <w:rFonts w:cs="Arial"/>
          <w:lang w:val="en-GB"/>
        </w:rPr>
      </w:pPr>
      <w:r w:rsidRPr="00395593">
        <w:rPr>
          <w:rStyle w:val="FootnoteReference"/>
          <w:rFonts w:cs="Arial"/>
        </w:rPr>
        <w:footnoteRef/>
      </w:r>
      <w:r w:rsidRPr="00395593">
        <w:rPr>
          <w:rFonts w:cs="Arial"/>
        </w:rPr>
        <w:t xml:space="preserve"> </w:t>
      </w:r>
      <w:r w:rsidRPr="00395593">
        <w:rPr>
          <w:rFonts w:cs="Arial"/>
        </w:rPr>
        <w:tab/>
      </w:r>
      <w:r w:rsidRPr="00395593">
        <w:rPr>
          <w:rFonts w:cs="Arial"/>
          <w:lang w:eastAsia="en-GB"/>
        </w:rPr>
        <w:t>Cyprus national Partnership Agreements for the ESIF period 2014-2020</w:t>
      </w:r>
      <w:r w:rsidRPr="00395593">
        <w:rPr>
          <w:rFonts w:cs="Arial"/>
          <w:lang w:val="en-GB" w:eastAsia="en-GB"/>
        </w:rPr>
        <w:t xml:space="preserve">. Available at: </w:t>
      </w:r>
      <w:hyperlink r:id="rId41" w:history="1">
        <w:r w:rsidRPr="00395593">
          <w:rPr>
            <w:rStyle w:val="Hyperlink"/>
            <w:rFonts w:cs="Arial"/>
          </w:rPr>
          <w:t>http://www.structuralfunds.org.cy/uploadfiles/CY_PA_rev11Aug2014-SFC.pdf</w:t>
        </w:r>
      </w:hyperlink>
      <w:r w:rsidRPr="00395593">
        <w:rPr>
          <w:rFonts w:cs="Arial"/>
          <w:lang w:val="en-GB"/>
        </w:rPr>
        <w:t>.</w:t>
      </w:r>
    </w:p>
  </w:footnote>
  <w:footnote w:id="76">
    <w:p w14:paraId="1D481520" w14:textId="77777777" w:rsidR="00185E73" w:rsidRPr="00395593" w:rsidRDefault="00185E73" w:rsidP="00395593">
      <w:pPr>
        <w:pStyle w:val="FootnoteText"/>
        <w:spacing w:after="0"/>
        <w:ind w:left="284" w:hanging="284"/>
        <w:rPr>
          <w:rFonts w:cs="Arial"/>
          <w:lang w:val="en-GB"/>
        </w:rPr>
      </w:pPr>
      <w:r w:rsidRPr="00395593">
        <w:rPr>
          <w:rStyle w:val="FootnoteReference"/>
          <w:rFonts w:cs="Arial"/>
        </w:rPr>
        <w:footnoteRef/>
      </w:r>
      <w:r w:rsidRPr="00395593">
        <w:rPr>
          <w:rFonts w:cs="Arial"/>
        </w:rPr>
        <w:t xml:space="preserve"> </w:t>
      </w:r>
      <w:r w:rsidRPr="00395593">
        <w:rPr>
          <w:rFonts w:cs="Arial"/>
        </w:rPr>
        <w:tab/>
        <w:t xml:space="preserve">Structural Funds – Beneficiaries, available at </w:t>
      </w:r>
      <w:hyperlink r:id="rId42" w:history="1">
        <w:r w:rsidRPr="00395593">
          <w:rPr>
            <w:rStyle w:val="Hyperlink"/>
            <w:rFonts w:cs="Arial"/>
          </w:rPr>
          <w:t>http://www.structuralfunds.org.cy/Potential-Beneficiaries</w:t>
        </w:r>
      </w:hyperlink>
      <w:r w:rsidRPr="00395593">
        <w:rPr>
          <w:rFonts w:cs="Arial"/>
          <w:lang w:val="en-GB"/>
        </w:rPr>
        <w:t xml:space="preserve">. </w:t>
      </w:r>
    </w:p>
  </w:footnote>
  <w:footnote w:id="77">
    <w:p w14:paraId="715F2771" w14:textId="6DE01439" w:rsidR="00185E73" w:rsidRPr="00395593" w:rsidRDefault="00185E73" w:rsidP="00395593">
      <w:pPr>
        <w:pStyle w:val="FootnoteText"/>
        <w:spacing w:after="0"/>
        <w:ind w:left="284" w:hanging="284"/>
        <w:rPr>
          <w:rFonts w:cs="Arial"/>
          <w:lang w:val="en-GB"/>
        </w:rPr>
      </w:pPr>
      <w:r w:rsidRPr="00395593">
        <w:rPr>
          <w:rStyle w:val="FootnoteReference"/>
          <w:rFonts w:cs="Arial"/>
        </w:rPr>
        <w:footnoteRef/>
      </w:r>
      <w:r w:rsidRPr="00395593">
        <w:rPr>
          <w:rFonts w:cs="Arial"/>
        </w:rPr>
        <w:t xml:space="preserve"> </w:t>
      </w:r>
      <w:r w:rsidRPr="00395593">
        <w:rPr>
          <w:rFonts w:cs="Arial"/>
        </w:rPr>
        <w:tab/>
        <w:t>Structural Funds – Annual Progress Report (J</w:t>
      </w:r>
      <w:r w:rsidRPr="00395593">
        <w:rPr>
          <w:rFonts w:cs="Arial"/>
          <w:lang w:val="en-GB"/>
        </w:rPr>
        <w:t>une</w:t>
      </w:r>
      <w:r w:rsidRPr="00395593">
        <w:rPr>
          <w:rFonts w:cs="Arial"/>
        </w:rPr>
        <w:t xml:space="preserve"> 201</w:t>
      </w:r>
      <w:r w:rsidRPr="00395593">
        <w:rPr>
          <w:rFonts w:cs="Arial"/>
          <w:lang w:val="en-GB"/>
        </w:rPr>
        <w:t>6</w:t>
      </w:r>
      <w:r w:rsidRPr="00395593">
        <w:rPr>
          <w:rFonts w:cs="Arial"/>
        </w:rPr>
        <w:t xml:space="preserve">) - </w:t>
      </w:r>
      <w:hyperlink r:id="rId43" w:history="1">
        <w:r w:rsidRPr="00395593">
          <w:rPr>
            <w:rStyle w:val="Hyperlink"/>
            <w:rFonts w:cs="Arial"/>
          </w:rPr>
          <w:t>http://www.structuralfunds.org.cy/uploadfiles/%CE%95%CF%84%CE%AE%CF%83%CE%B9%CE%B1%20%CE%88%CE%BA%CE%B8%CE%B5%CF%83%CE%B7%20%CE%A5%CE%BB%CE%BF%CF%80%CE%BF%CE%AF%CE%B7%CF%83%CE%B7%CF%82%202015%20--%20submitted.pdf</w:t>
        </w:r>
      </w:hyperlink>
      <w:r w:rsidRPr="00395593">
        <w:rPr>
          <w:rFonts w:cs="Arial"/>
          <w:lang w:val="en-GB"/>
        </w:rPr>
        <w:t>.</w:t>
      </w:r>
    </w:p>
  </w:footnote>
  <w:footnote w:id="78">
    <w:p w14:paraId="6A790A71" w14:textId="06C5D743" w:rsidR="00185E73" w:rsidRPr="00395593" w:rsidRDefault="00185E73" w:rsidP="00395593">
      <w:pPr>
        <w:pStyle w:val="FootnoteText"/>
        <w:spacing w:after="0"/>
        <w:ind w:left="284" w:hanging="284"/>
        <w:rPr>
          <w:rFonts w:cs="Arial"/>
          <w:lang w:val="en-GB"/>
        </w:rPr>
      </w:pPr>
      <w:r w:rsidRPr="00395593">
        <w:rPr>
          <w:rStyle w:val="FootnoteReference"/>
          <w:rFonts w:cs="Arial"/>
        </w:rPr>
        <w:footnoteRef/>
      </w:r>
      <w:r w:rsidRPr="00395593">
        <w:rPr>
          <w:rFonts w:cs="Arial"/>
        </w:rPr>
        <w:t xml:space="preserve"> </w:t>
      </w:r>
      <w:r w:rsidRPr="00395593">
        <w:rPr>
          <w:rFonts w:cs="Arial"/>
        </w:rPr>
        <w:tab/>
      </w:r>
      <w:r w:rsidRPr="00395593">
        <w:rPr>
          <w:rFonts w:cs="Arial"/>
          <w:lang w:val="en-GB"/>
        </w:rPr>
        <w:t xml:space="preserve">Structural Funds Annual Progress Report – </w:t>
      </w:r>
      <w:proofErr w:type="spellStart"/>
      <w:r w:rsidRPr="00395593">
        <w:rPr>
          <w:rFonts w:cs="Arial"/>
          <w:lang w:val="en-GB"/>
        </w:rPr>
        <w:t>Anex</w:t>
      </w:r>
      <w:proofErr w:type="spellEnd"/>
      <w:r w:rsidRPr="00395593">
        <w:rPr>
          <w:rFonts w:cs="Arial"/>
          <w:lang w:val="en-GB"/>
        </w:rPr>
        <w:t xml:space="preserve"> (June 2016). Available at: </w:t>
      </w:r>
      <w:hyperlink r:id="rId44" w:history="1">
        <w:r w:rsidRPr="00395593">
          <w:rPr>
            <w:rStyle w:val="Hyperlink"/>
            <w:rFonts w:cs="Arial"/>
            <w:lang w:val="en-GB"/>
          </w:rPr>
          <w:t>http://www.structuralfunds.org.cy/uploadfiles/%CE%A0%CE%B1%CF%81%CE%AC%CF%81%CF%84%CE%B7%CE%BC%CE%B1%201%20-%20%CE%94%CE%B5%CE%AF%CE%BA%CF%84%CE%B5%CF%82%20%CF%84%CE%BF%CF%85%20%CE%A0%CF%81%CE%BF%CE%B3%CF%81%CE%AC%CE%BC%CE%BC%CE%B1%CF%84%CE%BF%CF%82.pdf</w:t>
        </w:r>
      </w:hyperlink>
      <w:r w:rsidRPr="00395593">
        <w:rPr>
          <w:rFonts w:cs="Arial"/>
          <w:lang w:val="en-GB"/>
        </w:rPr>
        <w:t>.</w:t>
      </w:r>
    </w:p>
  </w:footnote>
  <w:footnote w:id="79">
    <w:p w14:paraId="40927C93" w14:textId="1218C1E3" w:rsidR="00185E73" w:rsidRPr="00395593" w:rsidRDefault="00185E73" w:rsidP="00395593">
      <w:pPr>
        <w:pStyle w:val="FootnoteText"/>
        <w:spacing w:after="0"/>
        <w:ind w:left="284" w:hanging="284"/>
        <w:rPr>
          <w:rFonts w:cs="Arial"/>
        </w:rPr>
      </w:pPr>
      <w:r w:rsidRPr="00395593">
        <w:rPr>
          <w:rStyle w:val="FootnoteReference"/>
          <w:rFonts w:cs="Arial"/>
        </w:rPr>
        <w:footnoteRef/>
      </w:r>
      <w:r w:rsidRPr="00395593">
        <w:rPr>
          <w:rFonts w:cs="Arial"/>
        </w:rPr>
        <w:t xml:space="preserve"> </w:t>
      </w:r>
      <w:r w:rsidRPr="00395593">
        <w:rPr>
          <w:rFonts w:cs="Arial"/>
        </w:rPr>
        <w:tab/>
        <w:t xml:space="preserve">Structural Funds – Evaluation Plan 2014-2020, available at </w:t>
      </w:r>
      <w:hyperlink r:id="rId45" w:history="1">
        <w:r w:rsidRPr="00395593">
          <w:rPr>
            <w:rStyle w:val="Hyperlink"/>
            <w:rFonts w:cs="Arial"/>
          </w:rPr>
          <w:t>http://www.structuralfunds.org.cy/uploadfiles/News/EVALUATION-PLAN-FINAL-DECEMBER-2015.docx</w:t>
        </w:r>
      </w:hyperlink>
      <w:r w:rsidRPr="00395593">
        <w:rPr>
          <w:rFonts w:cs="Arial"/>
          <w:lang w:val="en-GB"/>
        </w:rPr>
        <w:t xml:space="preserve"> and </w:t>
      </w:r>
      <w:hyperlink r:id="rId46" w:history="1">
        <w:r w:rsidRPr="00395593">
          <w:rPr>
            <w:rStyle w:val="Hyperlink"/>
            <w:rFonts w:cs="Arial"/>
            <w:lang w:val="en-GB"/>
          </w:rPr>
          <w:t>http://www.structuralfunds.org.cy/uploadfiles/News/EVALUATION-PLAN-FINAL-DECEMBER-2015.docx</w:t>
        </w:r>
      </w:hyperlink>
      <w:r w:rsidRPr="00395593">
        <w:rPr>
          <w:rFonts w:cs="Arial"/>
          <w:lang w:val="en-GB"/>
        </w:rPr>
        <w:t>.</w:t>
      </w:r>
    </w:p>
  </w:footnote>
  <w:footnote w:id="80">
    <w:p w14:paraId="4EC1DFFA" w14:textId="7BAB41CC" w:rsidR="00185E73" w:rsidRPr="00395593" w:rsidRDefault="00185E73" w:rsidP="00395593">
      <w:pPr>
        <w:pStyle w:val="FootnoteText"/>
        <w:spacing w:after="0"/>
        <w:ind w:left="284" w:hanging="284"/>
        <w:rPr>
          <w:rFonts w:cs="Arial"/>
          <w:lang w:val="en-GB"/>
        </w:rPr>
      </w:pPr>
      <w:r w:rsidRPr="00395593">
        <w:rPr>
          <w:rStyle w:val="FootnoteReference"/>
          <w:rFonts w:cs="Arial"/>
        </w:rPr>
        <w:footnoteRef/>
      </w:r>
      <w:r w:rsidRPr="00395593">
        <w:rPr>
          <w:rFonts w:cs="Arial"/>
        </w:rPr>
        <w:t xml:space="preserve"> </w:t>
      </w:r>
      <w:r w:rsidRPr="00395593">
        <w:rPr>
          <w:rFonts w:cs="Arial"/>
        </w:rPr>
        <w:tab/>
      </w:r>
      <w:r w:rsidRPr="00395593">
        <w:rPr>
          <w:rFonts w:cs="Arial"/>
          <w:lang w:eastAsia="en-GB"/>
        </w:rPr>
        <w:t>The Evaluation Report of the “Service Provision for the Estimation of the Interventions of the Common Support of the ESIF and the Youth Employment Initiative Including the Implementation of the “Guarantee for the Youth” regarding the Inclusion Young People in the Labour Market” (Operational</w:t>
      </w:r>
      <w:r w:rsidRPr="00395593">
        <w:rPr>
          <w:rFonts w:cs="Arial"/>
          <w:lang w:val="en-GB" w:eastAsia="en-GB"/>
        </w:rPr>
        <w:t xml:space="preserve"> </w:t>
      </w:r>
      <w:r w:rsidRPr="00395593">
        <w:rPr>
          <w:rFonts w:cs="Arial"/>
          <w:lang w:eastAsia="en-GB"/>
        </w:rPr>
        <w:t>Programme</w:t>
      </w:r>
      <w:r w:rsidRPr="00395593">
        <w:rPr>
          <w:rFonts w:cs="Arial"/>
          <w:lang w:val="en-GB" w:eastAsia="en-GB"/>
        </w:rPr>
        <w:t xml:space="preserve">: </w:t>
      </w:r>
      <w:r w:rsidRPr="00395593">
        <w:rPr>
          <w:rFonts w:cs="Arial"/>
          <w:lang w:eastAsia="en-GB"/>
        </w:rPr>
        <w:t>Employment</w:t>
      </w:r>
      <w:r w:rsidRPr="00395593">
        <w:rPr>
          <w:rFonts w:cs="Arial"/>
          <w:lang w:val="en-GB" w:eastAsia="en-GB"/>
        </w:rPr>
        <w:t xml:space="preserve">, </w:t>
      </w:r>
      <w:r w:rsidRPr="00395593">
        <w:rPr>
          <w:rFonts w:cs="Arial"/>
          <w:lang w:eastAsia="en-GB"/>
        </w:rPr>
        <w:t>Human</w:t>
      </w:r>
      <w:r w:rsidRPr="00395593">
        <w:rPr>
          <w:rFonts w:cs="Arial"/>
          <w:lang w:val="en-GB" w:eastAsia="en-GB"/>
        </w:rPr>
        <w:t xml:space="preserve"> </w:t>
      </w:r>
      <w:r w:rsidRPr="00395593">
        <w:rPr>
          <w:rFonts w:cs="Arial"/>
          <w:lang w:eastAsia="en-GB"/>
        </w:rPr>
        <w:t>Capital</w:t>
      </w:r>
      <w:r w:rsidRPr="00395593">
        <w:rPr>
          <w:rFonts w:cs="Arial"/>
          <w:lang w:val="en-GB" w:eastAsia="en-GB"/>
        </w:rPr>
        <w:t xml:space="preserve"> </w:t>
      </w:r>
      <w:r w:rsidRPr="00395593">
        <w:rPr>
          <w:rFonts w:cs="Arial"/>
          <w:lang w:eastAsia="en-GB"/>
        </w:rPr>
        <w:t>and</w:t>
      </w:r>
      <w:r w:rsidRPr="00395593">
        <w:rPr>
          <w:rFonts w:cs="Arial"/>
          <w:lang w:val="en-GB" w:eastAsia="en-GB"/>
        </w:rPr>
        <w:t xml:space="preserve"> </w:t>
      </w:r>
      <w:r w:rsidRPr="00395593">
        <w:rPr>
          <w:rFonts w:cs="Arial"/>
          <w:lang w:eastAsia="en-GB"/>
        </w:rPr>
        <w:t>Social</w:t>
      </w:r>
      <w:r w:rsidRPr="00395593">
        <w:rPr>
          <w:rFonts w:cs="Arial"/>
          <w:lang w:val="en-GB" w:eastAsia="en-GB"/>
        </w:rPr>
        <w:t xml:space="preserve"> </w:t>
      </w:r>
      <w:r w:rsidRPr="00395593">
        <w:rPr>
          <w:rFonts w:cs="Arial"/>
          <w:lang w:eastAsia="en-GB"/>
        </w:rPr>
        <w:t>Cohesion</w:t>
      </w:r>
      <w:r w:rsidRPr="00395593">
        <w:rPr>
          <w:rFonts w:cs="Arial"/>
          <w:lang w:val="en-GB" w:eastAsia="en-GB"/>
        </w:rPr>
        <w:t xml:space="preserve">. Available at </w:t>
      </w:r>
      <w:hyperlink r:id="rId47" w:history="1">
        <w:r w:rsidRPr="00395593">
          <w:rPr>
            <w:rStyle w:val="Hyperlink"/>
            <w:rFonts w:cs="Arial"/>
            <w:lang w:val="en-GB" w:eastAsia="en-GB"/>
          </w:rPr>
          <w:t>http://www.structuralfunds.org.cy/uploadfiles/Apasxolisi_AnthropinoiPoroi/EKTHESI_AKSIOLOGISIS_PAN_final_NEW.pdf</w:t>
        </w:r>
      </w:hyperlink>
      <w:r w:rsidRPr="00395593">
        <w:rPr>
          <w:rFonts w:cs="Arial"/>
          <w:lang w:val="en-GB" w:eastAsia="en-GB"/>
        </w:rPr>
        <w:t>.</w:t>
      </w:r>
    </w:p>
  </w:footnote>
  <w:footnote w:id="81">
    <w:p w14:paraId="7EBA6C15" w14:textId="77777777" w:rsidR="00185E73" w:rsidRPr="00395593" w:rsidRDefault="00185E73" w:rsidP="00395593">
      <w:pPr>
        <w:pStyle w:val="FootnoteText"/>
        <w:spacing w:after="0"/>
        <w:ind w:left="284" w:hanging="284"/>
        <w:rPr>
          <w:rFonts w:cs="Arial"/>
          <w:lang w:val="en-GB"/>
        </w:rPr>
      </w:pPr>
      <w:r w:rsidRPr="00395593">
        <w:rPr>
          <w:rStyle w:val="FootnoteReference"/>
          <w:rFonts w:cs="Arial"/>
        </w:rPr>
        <w:footnoteRef/>
      </w:r>
      <w:r w:rsidRPr="00395593">
        <w:rPr>
          <w:rFonts w:cs="Arial"/>
        </w:rPr>
        <w:t xml:space="preserve"> </w:t>
      </w:r>
      <w:r w:rsidRPr="00395593">
        <w:rPr>
          <w:rFonts w:cs="Arial"/>
        </w:rPr>
        <w:tab/>
      </w:r>
      <w:proofErr w:type="spellStart"/>
      <w:r w:rsidRPr="00395593">
        <w:rPr>
          <w:rFonts w:cs="Arial"/>
          <w:lang w:val="en-US"/>
        </w:rPr>
        <w:t>Damianidou</w:t>
      </w:r>
      <w:proofErr w:type="spellEnd"/>
      <w:r w:rsidRPr="00395593">
        <w:rPr>
          <w:rFonts w:cs="Arial"/>
          <w:lang w:val="en-US"/>
        </w:rPr>
        <w:t xml:space="preserve">, E. and </w:t>
      </w:r>
      <w:proofErr w:type="spellStart"/>
      <w:r w:rsidRPr="00395593">
        <w:rPr>
          <w:rFonts w:cs="Arial"/>
          <w:lang w:val="en-US"/>
        </w:rPr>
        <w:t>Phtiaka</w:t>
      </w:r>
      <w:proofErr w:type="spellEnd"/>
      <w:r w:rsidRPr="00395593">
        <w:rPr>
          <w:rFonts w:cs="Arial"/>
          <w:lang w:val="en-US"/>
        </w:rPr>
        <w:t>, E. (2010)</w:t>
      </w:r>
      <w:r w:rsidRPr="00395593">
        <w:rPr>
          <w:rFonts w:cs="Arial"/>
        </w:rPr>
        <w:t xml:space="preserve"> </w:t>
      </w:r>
      <w:r w:rsidRPr="00395593">
        <w:rPr>
          <w:rFonts w:cs="Arial"/>
          <w:lang w:val="en-US"/>
        </w:rPr>
        <w:t>The vocational rehabilitation of disabled persons in Cyprus and the role of the School</w:t>
      </w:r>
      <w:r w:rsidRPr="00395593">
        <w:rPr>
          <w:rFonts w:cs="Arial"/>
          <w:bCs/>
        </w:rPr>
        <w:t xml:space="preserve"> PEK Conference (Cyprus Pedagogical Association), University of Cyprus, 8-9 June 2012</w:t>
      </w:r>
      <w:r w:rsidRPr="00395593">
        <w:rPr>
          <w:rFonts w:cs="Arial"/>
          <w:bCs/>
          <w:lang w:val="en-GB"/>
        </w:rPr>
        <w:t>.</w:t>
      </w:r>
    </w:p>
  </w:footnote>
  <w:footnote w:id="82">
    <w:p w14:paraId="50D161E8" w14:textId="730EAEC3" w:rsidR="00185E73" w:rsidRPr="00395593" w:rsidRDefault="00185E73" w:rsidP="00395593">
      <w:pPr>
        <w:pStyle w:val="FootnoteText"/>
        <w:spacing w:after="0"/>
        <w:ind w:left="284" w:hanging="284"/>
        <w:rPr>
          <w:rFonts w:cs="Arial"/>
          <w:lang w:val="en-GB"/>
        </w:rPr>
      </w:pPr>
      <w:r w:rsidRPr="00395593">
        <w:rPr>
          <w:rStyle w:val="FootnoteReference"/>
          <w:rFonts w:cs="Arial"/>
        </w:rPr>
        <w:footnoteRef/>
      </w:r>
      <w:r w:rsidRPr="00395593">
        <w:rPr>
          <w:rFonts w:cs="Arial"/>
        </w:rPr>
        <w:t xml:space="preserve"> </w:t>
      </w:r>
      <w:r w:rsidRPr="00395593">
        <w:rPr>
          <w:rFonts w:cs="Arial"/>
        </w:rPr>
        <w:tab/>
        <w:t>The Commissioner for Administration and Human Rights (Ombudsman)</w:t>
      </w:r>
      <w:r w:rsidRPr="00395593">
        <w:rPr>
          <w:rFonts w:cs="Arial"/>
          <w:lang w:val="en-GB"/>
        </w:rPr>
        <w:t xml:space="preserve">, Available at: </w:t>
      </w:r>
      <w:hyperlink r:id="rId48" w:anchor="sthash.Gj1GObjq.dpu" w:history="1">
        <w:r w:rsidRPr="00395593">
          <w:rPr>
            <w:rStyle w:val="Hyperlink"/>
            <w:rFonts w:cs="Arial"/>
          </w:rPr>
          <w:t>http://www.ombudsman.gov.cy/ombudsman/ombudsman.nsf/index_en/index_en?opendocument#sthash.Gj1GObjq.dpu</w:t>
        </w:r>
      </w:hyperlink>
      <w:r w:rsidRPr="00395593">
        <w:rPr>
          <w:rFonts w:cs="Arial"/>
          <w:lang w:val="en-GB"/>
        </w:rPr>
        <w:t>.</w:t>
      </w:r>
    </w:p>
  </w:footnote>
  <w:footnote w:id="83">
    <w:p w14:paraId="0BA5D9ED" w14:textId="77777777" w:rsidR="00185E73" w:rsidRPr="00395593" w:rsidRDefault="00185E73" w:rsidP="00395593">
      <w:pPr>
        <w:pStyle w:val="FootnoteText"/>
        <w:spacing w:after="0"/>
        <w:ind w:left="284" w:hanging="284"/>
        <w:rPr>
          <w:rFonts w:cs="Arial"/>
          <w:lang w:val="en-GB"/>
        </w:rPr>
      </w:pPr>
      <w:r w:rsidRPr="00395593">
        <w:rPr>
          <w:rStyle w:val="FootnoteReference"/>
          <w:rFonts w:cs="Arial"/>
        </w:rPr>
        <w:footnoteRef/>
      </w:r>
      <w:r w:rsidRPr="00395593">
        <w:rPr>
          <w:rFonts w:cs="Arial"/>
        </w:rPr>
        <w:t xml:space="preserve"> </w:t>
      </w:r>
      <w:r w:rsidRPr="00395593">
        <w:rPr>
          <w:rFonts w:cs="Arial"/>
        </w:rPr>
        <w:tab/>
      </w:r>
      <w:hyperlink r:id="rId49" w:history="1">
        <w:r w:rsidRPr="00395593">
          <w:rPr>
            <w:rStyle w:val="Hyperlink"/>
            <w:rFonts w:cs="Arial"/>
            <w:shd w:val="clear" w:color="auto" w:fill="FFFFFF"/>
          </w:rPr>
          <w:t>http://www.philenews.com/el-gr/eidiseis-media/893/248681/anapiro-to-ktirio-tou-rik</w:t>
        </w:r>
      </w:hyperlink>
      <w:r w:rsidRPr="00395593">
        <w:rPr>
          <w:rFonts w:cs="Arial"/>
          <w:color w:val="222222"/>
          <w:shd w:val="clear" w:color="auto" w:fill="FFFFFF"/>
          <w:lang w:val="en-GB"/>
        </w:rPr>
        <w:t xml:space="preserve">. </w:t>
      </w:r>
    </w:p>
  </w:footnote>
  <w:footnote w:id="84">
    <w:p w14:paraId="74A60800" w14:textId="2FF7C069" w:rsidR="00185E73" w:rsidRPr="00395593" w:rsidRDefault="00185E73" w:rsidP="00395593">
      <w:pPr>
        <w:pStyle w:val="FootnoteText"/>
        <w:spacing w:after="0"/>
        <w:ind w:left="284" w:hanging="284"/>
        <w:rPr>
          <w:rFonts w:cs="Arial"/>
          <w:lang w:val="en-US"/>
        </w:rPr>
      </w:pPr>
      <w:r w:rsidRPr="00395593">
        <w:rPr>
          <w:rStyle w:val="FootnoteReference"/>
          <w:rFonts w:cs="Arial"/>
        </w:rPr>
        <w:footnoteRef/>
      </w:r>
      <w:r w:rsidRPr="00395593">
        <w:rPr>
          <w:rFonts w:cs="Arial"/>
        </w:rPr>
        <w:t xml:space="preserve"> </w:t>
      </w:r>
      <w:r w:rsidRPr="00395593">
        <w:rPr>
          <w:rFonts w:cs="Arial"/>
        </w:rPr>
        <w:tab/>
      </w:r>
      <w:r w:rsidRPr="00395593">
        <w:rPr>
          <w:rFonts w:cs="Arial"/>
          <w:lang w:val="en-US"/>
        </w:rPr>
        <w:t xml:space="preserve">Vargas-Baron, E (2014) Foreword: The Salamanca Declaration: Still Our Guide for the Future. In </w:t>
      </w:r>
      <w:proofErr w:type="spellStart"/>
      <w:r w:rsidRPr="00395593">
        <w:rPr>
          <w:rFonts w:cs="Arial"/>
          <w:lang w:val="en-US"/>
        </w:rPr>
        <w:t>Kiuppis</w:t>
      </w:r>
      <w:proofErr w:type="spellEnd"/>
      <w:r w:rsidRPr="00395593">
        <w:rPr>
          <w:rFonts w:cs="Arial"/>
          <w:lang w:val="en-US"/>
        </w:rPr>
        <w:t xml:space="preserve">, F. and </w:t>
      </w:r>
      <w:proofErr w:type="spellStart"/>
      <w:r w:rsidRPr="00395593">
        <w:rPr>
          <w:rFonts w:cs="Arial"/>
          <w:lang w:val="en-US"/>
        </w:rPr>
        <w:t>Hausstatter</w:t>
      </w:r>
      <w:proofErr w:type="spellEnd"/>
      <w:r w:rsidRPr="00395593">
        <w:rPr>
          <w:rFonts w:cs="Arial"/>
          <w:lang w:val="en-US"/>
        </w:rPr>
        <w:t>, R.S. (eds.) Inclusive Education Twenty years after Salamanca. New York: Peter Lang Publishing.</w:t>
      </w:r>
    </w:p>
  </w:footnote>
  <w:footnote w:id="85">
    <w:p w14:paraId="208DDCF7" w14:textId="24A59192" w:rsidR="00185E73" w:rsidRPr="00395593" w:rsidRDefault="00185E73" w:rsidP="00395593">
      <w:pPr>
        <w:autoSpaceDE w:val="0"/>
        <w:autoSpaceDN w:val="0"/>
        <w:adjustRightInd w:val="0"/>
        <w:spacing w:after="0"/>
        <w:ind w:left="284" w:hanging="284"/>
        <w:rPr>
          <w:sz w:val="20"/>
          <w:szCs w:val="20"/>
        </w:rPr>
      </w:pPr>
      <w:r w:rsidRPr="00395593">
        <w:rPr>
          <w:rStyle w:val="FootnoteReference"/>
          <w:sz w:val="20"/>
          <w:szCs w:val="20"/>
        </w:rPr>
        <w:footnoteRef/>
      </w:r>
      <w:r w:rsidRPr="00395593">
        <w:rPr>
          <w:sz w:val="20"/>
          <w:szCs w:val="20"/>
        </w:rPr>
        <w:t xml:space="preserve"> </w:t>
      </w:r>
      <w:r w:rsidRPr="00395593">
        <w:rPr>
          <w:sz w:val="20"/>
          <w:szCs w:val="20"/>
        </w:rPr>
        <w:tab/>
        <w:t xml:space="preserve">World Bank. (2014a). Teacher policies in the Republic of Cyprus. Retrieved from </w:t>
      </w:r>
      <w:hyperlink r:id="rId50" w:history="1">
        <w:r w:rsidRPr="00395593">
          <w:rPr>
            <w:rStyle w:val="Hyperlink"/>
            <w:sz w:val="20"/>
            <w:szCs w:val="20"/>
          </w:rPr>
          <w:t>http://www.moec.gov.cy/anakoinoseis/2014/pdf/2014_06_12_ekthesi_pagkosmias_trapezas_politikes_ekpaideftikon.pdf</w:t>
        </w:r>
      </w:hyperlink>
      <w:r w:rsidRPr="00395593">
        <w:rPr>
          <w:sz w:val="20"/>
          <w:szCs w:val="20"/>
        </w:rPr>
        <w:t xml:space="preserve"> (last accessed 11 January 2015).</w:t>
      </w:r>
    </w:p>
  </w:footnote>
  <w:footnote w:id="86">
    <w:p w14:paraId="7D62B808" w14:textId="77777777" w:rsidR="00185E73" w:rsidRPr="00395593" w:rsidRDefault="00185E73" w:rsidP="00395593">
      <w:pPr>
        <w:pStyle w:val="FootnoteText"/>
        <w:spacing w:after="0"/>
        <w:ind w:left="284" w:hanging="284"/>
        <w:rPr>
          <w:rFonts w:cs="Arial"/>
        </w:rPr>
      </w:pPr>
      <w:r w:rsidRPr="00395593">
        <w:rPr>
          <w:rStyle w:val="FootnoteReference"/>
          <w:rFonts w:cs="Arial"/>
        </w:rPr>
        <w:footnoteRef/>
      </w:r>
      <w:r w:rsidRPr="00395593">
        <w:rPr>
          <w:rFonts w:cs="Arial"/>
        </w:rPr>
        <w:t xml:space="preserve"> </w:t>
      </w:r>
      <w:r w:rsidRPr="00395593">
        <w:rPr>
          <w:rFonts w:cs="Arial"/>
        </w:rPr>
        <w:tab/>
        <w:t>Beauchamp-Pryor, K. (2013) Disabled Students in Welsh Higher Education: a framework for equality and inclusion. Rotterdam: Sense Publications.</w:t>
      </w:r>
    </w:p>
  </w:footnote>
  <w:footnote w:id="87">
    <w:p w14:paraId="4F3B15F9" w14:textId="77777777" w:rsidR="00185E73" w:rsidRPr="00395593" w:rsidRDefault="00185E73" w:rsidP="00395593">
      <w:pPr>
        <w:pStyle w:val="FootnoteText"/>
        <w:spacing w:after="0"/>
        <w:ind w:left="284" w:hanging="284"/>
        <w:rPr>
          <w:rFonts w:cs="Arial"/>
        </w:rPr>
      </w:pPr>
      <w:r w:rsidRPr="00395593">
        <w:rPr>
          <w:rStyle w:val="FootnoteReference"/>
          <w:rFonts w:cs="Arial"/>
        </w:rPr>
        <w:footnoteRef/>
      </w:r>
      <w:r w:rsidRPr="00395593">
        <w:rPr>
          <w:rFonts w:cs="Arial"/>
        </w:rPr>
        <w:t xml:space="preserve"> </w:t>
      </w:r>
      <w:r w:rsidRPr="00395593">
        <w:rPr>
          <w:rFonts w:cs="Arial"/>
        </w:rPr>
        <w:tab/>
        <w:t>Madriaga, M., Hanson, K., Kay, H. &amp; Walker, A. (2011) ‘Marking out normalcy and disability in higher education’, British Journal of Sociology of Education, 32 (6), 901–920.</w:t>
      </w:r>
    </w:p>
  </w:footnote>
  <w:footnote w:id="88">
    <w:p w14:paraId="28C6D018" w14:textId="77777777" w:rsidR="00185E73" w:rsidRPr="00395593" w:rsidRDefault="00185E73" w:rsidP="00395593">
      <w:pPr>
        <w:pStyle w:val="FootnoteText"/>
        <w:spacing w:after="0"/>
        <w:ind w:left="284" w:hanging="284"/>
        <w:rPr>
          <w:rFonts w:cs="Arial"/>
        </w:rPr>
      </w:pPr>
      <w:r w:rsidRPr="00395593">
        <w:rPr>
          <w:rStyle w:val="FootnoteReference"/>
          <w:rFonts w:cs="Arial"/>
        </w:rPr>
        <w:footnoteRef/>
      </w:r>
      <w:r w:rsidRPr="00395593">
        <w:rPr>
          <w:rFonts w:cs="Arial"/>
        </w:rPr>
        <w:t xml:space="preserve"> </w:t>
      </w:r>
      <w:r w:rsidRPr="00395593">
        <w:rPr>
          <w:rFonts w:cs="Arial"/>
        </w:rPr>
        <w:tab/>
        <w:t>Sachs, D. &amp; Schreuer, N. (2011) ‘Inclusion of students with disabilities in higher education: performance and participation in students’ experiences’, Disability Studies Quarterly, 31 (2), 1–19.</w:t>
      </w:r>
    </w:p>
  </w:footnote>
  <w:footnote w:id="89">
    <w:p w14:paraId="6E29EC00" w14:textId="77777777" w:rsidR="00185E73" w:rsidRPr="00395593" w:rsidRDefault="00185E73" w:rsidP="00395593">
      <w:pPr>
        <w:pStyle w:val="FootnoteText"/>
        <w:spacing w:after="0"/>
        <w:ind w:left="284" w:hanging="284"/>
        <w:rPr>
          <w:rFonts w:cs="Arial"/>
          <w:lang w:val="en-GB"/>
        </w:rPr>
      </w:pPr>
      <w:r w:rsidRPr="00395593">
        <w:rPr>
          <w:rStyle w:val="FootnoteReference"/>
          <w:rFonts w:cs="Arial"/>
        </w:rPr>
        <w:footnoteRef/>
      </w:r>
      <w:r w:rsidRPr="00395593">
        <w:rPr>
          <w:rFonts w:cs="Arial"/>
        </w:rPr>
        <w:t xml:space="preserve"> </w:t>
      </w:r>
      <w:r w:rsidRPr="00395593">
        <w:rPr>
          <w:rFonts w:cs="Arial"/>
        </w:rPr>
        <w:tab/>
        <w:t>Riddell, S., Tinklin, T. &amp; Wilson, A. (2005) ‘New Labour, social justice and disabled students in higher education’, British Educational Research Journal, 31 (5), 623–643</w:t>
      </w:r>
      <w:r w:rsidRPr="00395593">
        <w:rPr>
          <w:rFonts w:cs="Arial"/>
          <w:lang w:val="en-GB"/>
        </w:rPr>
        <w:t>.</w:t>
      </w:r>
    </w:p>
  </w:footnote>
  <w:footnote w:id="90">
    <w:p w14:paraId="594FC08C" w14:textId="77777777" w:rsidR="00185E73" w:rsidRPr="00395593" w:rsidRDefault="00185E73" w:rsidP="00395593">
      <w:pPr>
        <w:pStyle w:val="NormalWeb"/>
        <w:spacing w:after="0"/>
        <w:ind w:left="284" w:hanging="284"/>
        <w:contextualSpacing/>
        <w:rPr>
          <w:rFonts w:cs="Arial"/>
          <w:sz w:val="20"/>
          <w:szCs w:val="20"/>
        </w:rPr>
      </w:pPr>
      <w:r w:rsidRPr="00395593">
        <w:rPr>
          <w:rStyle w:val="FootnoteReference"/>
          <w:rFonts w:cs="Arial"/>
          <w:sz w:val="20"/>
          <w:szCs w:val="20"/>
        </w:rPr>
        <w:footnoteRef/>
      </w:r>
      <w:r w:rsidRPr="00395593">
        <w:rPr>
          <w:rFonts w:cs="Arial"/>
          <w:sz w:val="20"/>
          <w:szCs w:val="20"/>
        </w:rPr>
        <w:t xml:space="preserve"> </w:t>
      </w:r>
      <w:r w:rsidRPr="00395593">
        <w:rPr>
          <w:rFonts w:cs="Arial"/>
          <w:sz w:val="20"/>
          <w:szCs w:val="20"/>
        </w:rPr>
        <w:tab/>
      </w:r>
      <w:r w:rsidRPr="00395593">
        <w:rPr>
          <w:rFonts w:cs="Arial"/>
          <w:color w:val="000000"/>
          <w:sz w:val="20"/>
          <w:szCs w:val="20"/>
          <w:lang w:val="en-US" w:eastAsia="el-GR"/>
        </w:rPr>
        <w:t xml:space="preserve">Liasidou, A. (2014): Disabling discourses and human rights law: a case study based on the implementation of the UN Convention on the Rights of People with Disabilities, Discourse: Studies in the Cultural Politics of Education, DOI: </w:t>
      </w:r>
      <w:r w:rsidRPr="00395593">
        <w:rPr>
          <w:rFonts w:cs="Arial"/>
          <w:sz w:val="20"/>
          <w:szCs w:val="20"/>
          <w:lang w:val="en-US" w:eastAsia="el-GR"/>
        </w:rPr>
        <w:t>10.1080/01596306.2014.936928.</w:t>
      </w:r>
    </w:p>
  </w:footnote>
  <w:footnote w:id="91">
    <w:p w14:paraId="639AA122" w14:textId="77777777" w:rsidR="00185E73" w:rsidRPr="00395593" w:rsidRDefault="00185E73" w:rsidP="00395593">
      <w:pPr>
        <w:pStyle w:val="NormalWeb"/>
        <w:spacing w:after="0"/>
        <w:ind w:left="284" w:hanging="284"/>
        <w:contextualSpacing/>
        <w:rPr>
          <w:rFonts w:cs="Arial"/>
          <w:sz w:val="20"/>
          <w:szCs w:val="20"/>
        </w:rPr>
      </w:pPr>
      <w:r w:rsidRPr="00395593">
        <w:rPr>
          <w:rStyle w:val="FootnoteReference"/>
          <w:rFonts w:cs="Arial"/>
          <w:sz w:val="20"/>
          <w:szCs w:val="20"/>
        </w:rPr>
        <w:footnoteRef/>
      </w:r>
      <w:r w:rsidRPr="00395593">
        <w:rPr>
          <w:rFonts w:cs="Arial"/>
          <w:sz w:val="20"/>
          <w:szCs w:val="20"/>
        </w:rPr>
        <w:t xml:space="preserve"> </w:t>
      </w:r>
      <w:r w:rsidRPr="00395593">
        <w:rPr>
          <w:rFonts w:cs="Arial"/>
          <w:sz w:val="20"/>
          <w:szCs w:val="20"/>
        </w:rPr>
        <w:tab/>
      </w:r>
      <w:r w:rsidRPr="00395593">
        <w:rPr>
          <w:rFonts w:cs="Arial"/>
          <w:color w:val="000000"/>
          <w:sz w:val="20"/>
          <w:szCs w:val="20"/>
          <w:lang w:val="en-US" w:eastAsia="el-GR"/>
        </w:rPr>
        <w:t xml:space="preserve">Liasidou, A. (2014): Disabling discourses and human rights law: a case study based on the implementation of the UN Convention on the Rights of People with Disabilities, Discourse: Studies in the Cultural Politics of Education, DOI: </w:t>
      </w:r>
      <w:r w:rsidRPr="00395593">
        <w:rPr>
          <w:rFonts w:cs="Arial"/>
          <w:sz w:val="20"/>
          <w:szCs w:val="20"/>
          <w:lang w:val="en-US" w:eastAsia="el-GR"/>
        </w:rPr>
        <w:t>10.1080/01596306.2014.936928.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ADDBE" w14:textId="36645FCD" w:rsidR="00185E73" w:rsidRDefault="00185E73" w:rsidP="00A90688">
    <w:pPr>
      <w:pStyle w:val="Header"/>
      <w:tabs>
        <w:tab w:val="clear" w:pos="9026"/>
        <w:tab w:val="right" w:pos="9070"/>
      </w:tabs>
    </w:pPr>
    <w:r>
      <w:rPr>
        <w:noProof/>
        <w:lang w:val="nl-NL" w:eastAsia="nl-NL"/>
      </w:rPr>
      <mc:AlternateContent>
        <mc:Choice Requires="wps">
          <w:drawing>
            <wp:anchor distT="0" distB="0" distL="114300" distR="114300" simplePos="0" relativeHeight="251658240" behindDoc="0" locked="0" layoutInCell="1" allowOverlap="1" wp14:anchorId="190F2956" wp14:editId="75B18B86">
              <wp:simplePos x="0" y="0"/>
              <wp:positionH relativeFrom="column">
                <wp:posOffset>1036955</wp:posOffset>
              </wp:positionH>
              <wp:positionV relativeFrom="paragraph">
                <wp:posOffset>216535</wp:posOffset>
              </wp:positionV>
              <wp:extent cx="4470400" cy="2286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11E45" w14:textId="4A7CBBFE" w:rsidR="00185E73" w:rsidRPr="00ED6A68" w:rsidRDefault="00185E73" w:rsidP="00A90688">
                          <w:pPr>
                            <w:jc w:val="right"/>
                            <w:rPr>
                              <w:sz w:val="16"/>
                              <w:szCs w:val="16"/>
                            </w:rPr>
                          </w:pPr>
                          <w:r>
                            <w:rPr>
                              <w:sz w:val="16"/>
                              <w:lang w:eastAsia="fr-FR"/>
                            </w:rPr>
                            <w:t>European Semester 2016/2017</w:t>
                          </w:r>
                          <w:r w:rsidRPr="00F46384">
                            <w:rPr>
                              <w:sz w:val="16"/>
                              <w:lang w:eastAsia="fr-FR"/>
                            </w:rPr>
                            <w:t xml:space="preserve"> country fiche on disability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F2956" id="_x0000_t202" coordsize="21600,21600" o:spt="202" path="m,l,21600r21600,l21600,xe">
              <v:stroke joinstyle="miter"/>
              <v:path gradientshapeok="t" o:connecttype="rect"/>
            </v:shapetype>
            <v:shape id="Text Box 21" o:spid="_x0000_s1026" type="#_x0000_t202" style="position:absolute;margin-left:81.65pt;margin-top:17.05pt;width:352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VZxtAIAALs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" filled="f" stroked="f">
              <v:textbox>
                <w:txbxContent>
                  <w:p w14:paraId="1C311E45" w14:textId="4A7CBBFE" w:rsidR="00185E73" w:rsidRPr="00ED6A68" w:rsidRDefault="00185E73" w:rsidP="00A90688">
                    <w:pPr>
                      <w:jc w:val="right"/>
                      <w:rPr>
                        <w:sz w:val="16"/>
                        <w:szCs w:val="16"/>
                      </w:rPr>
                    </w:pPr>
                    <w:r>
                      <w:rPr>
                        <w:sz w:val="16"/>
                        <w:lang w:eastAsia="fr-FR"/>
                      </w:rPr>
                      <w:t>European Semester 2016/2017</w:t>
                    </w:r>
                    <w:r w:rsidRPr="00F46384">
                      <w:rPr>
                        <w:sz w:val="16"/>
                        <w:lang w:eastAsia="fr-FR"/>
                      </w:rPr>
                      <w:t xml:space="preserve"> country fiche on disability</w:t>
                    </w:r>
                  </w:p>
                </w:txbxContent>
              </v:textbox>
            </v:shape>
          </w:pict>
        </mc:Fallback>
      </mc:AlternateContent>
    </w:r>
    <w:r>
      <w:rPr>
        <w:noProof/>
        <w:lang w:val="nl-NL" w:eastAsia="nl-NL"/>
      </w:rPr>
      <w:drawing>
        <wp:anchor distT="0" distB="0" distL="114300" distR="114300" simplePos="0" relativeHeight="251657216" behindDoc="1" locked="0" layoutInCell="1" allowOverlap="1" wp14:anchorId="3742983B" wp14:editId="10D6CF5A">
          <wp:simplePos x="0" y="0"/>
          <wp:positionH relativeFrom="column">
            <wp:posOffset>5240655</wp:posOffset>
          </wp:positionH>
          <wp:positionV relativeFrom="paragraph">
            <wp:posOffset>-31750</wp:posOffset>
          </wp:positionV>
          <wp:extent cx="509270" cy="509270"/>
          <wp:effectExtent l="0" t="0" r="0" b="0"/>
          <wp:wrapThrough wrapText="bothSides">
            <wp:wrapPolygon edited="0">
              <wp:start x="0" y="0"/>
              <wp:lineTo x="0" y="21007"/>
              <wp:lineTo x="21007" y="21007"/>
              <wp:lineTo x="21007" y="0"/>
              <wp:lineTo x="0" y="0"/>
            </wp:wrapPolygon>
          </wp:wrapThrough>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0271F1"/>
    <w:multiLevelType w:val="multilevel"/>
    <w:tmpl w:val="F2DA5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DA57317"/>
    <w:multiLevelType w:val="hybridMultilevel"/>
    <w:tmpl w:val="B7EA2B76"/>
    <w:lvl w:ilvl="0" w:tplc="DB40C3C2">
      <w:start w:val="1"/>
      <w:numFmt w:val="decimal"/>
      <w:lvlText w:val="%1.1"/>
      <w:lvlJc w:val="left"/>
      <w:pPr>
        <w:ind w:left="1353"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C034FB"/>
    <w:multiLevelType w:val="hybridMultilevel"/>
    <w:tmpl w:val="67E2CC82"/>
    <w:lvl w:ilvl="0" w:tplc="A69C35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9D2A8E"/>
    <w:multiLevelType w:val="multilevel"/>
    <w:tmpl w:val="CC36D23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BB05A4D"/>
    <w:multiLevelType w:val="multilevel"/>
    <w:tmpl w:val="CBCCF67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E392CB9"/>
    <w:multiLevelType w:val="multilevel"/>
    <w:tmpl w:val="3654A040"/>
    <w:lvl w:ilvl="0">
      <w:start w:val="1"/>
      <w:numFmt w:val="decimal"/>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566B1A37"/>
    <w:multiLevelType w:val="hybridMultilevel"/>
    <w:tmpl w:val="774C21AC"/>
    <w:lvl w:ilvl="0" w:tplc="8AD44C3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5B57523E"/>
    <w:multiLevelType w:val="hybridMultilevel"/>
    <w:tmpl w:val="978C82EC"/>
    <w:lvl w:ilvl="0" w:tplc="8C5061C2">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9522A5C"/>
    <w:multiLevelType w:val="hybridMultilevel"/>
    <w:tmpl w:val="763C3A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BE5A8E"/>
    <w:multiLevelType w:val="multilevel"/>
    <w:tmpl w:val="12E42466"/>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9E62C2B"/>
    <w:multiLevelType w:val="hybridMultilevel"/>
    <w:tmpl w:val="BCE08C1C"/>
    <w:lvl w:ilvl="0" w:tplc="3A2277B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7B374815"/>
    <w:multiLevelType w:val="hybridMultilevel"/>
    <w:tmpl w:val="164A9AF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
  </w:num>
  <w:num w:numId="2">
    <w:abstractNumId w:val="0"/>
  </w:num>
  <w:num w:numId="3">
    <w:abstractNumId w:val="11"/>
  </w:num>
  <w:num w:numId="4">
    <w:abstractNumId w:val="9"/>
  </w:num>
  <w:num w:numId="5">
    <w:abstractNumId w:val="7"/>
  </w:num>
  <w:num w:numId="6">
    <w:abstractNumId w:val="8"/>
  </w:num>
  <w:num w:numId="7">
    <w:abstractNumId w:val="6"/>
  </w:num>
  <w:num w:numId="8">
    <w:abstractNumId w:val="3"/>
  </w:num>
  <w:num w:numId="9">
    <w:abstractNumId w:val="13"/>
  </w:num>
  <w:num w:numId="10">
    <w:abstractNumId w:val="12"/>
  </w:num>
  <w:num w:numId="11">
    <w:abstractNumId w:val="10"/>
  </w:num>
  <w:num w:numId="12">
    <w:abstractNumId w:val="4"/>
  </w:num>
  <w:num w:numId="1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101"/>
    <w:rsid w:val="00000387"/>
    <w:rsid w:val="0000095B"/>
    <w:rsid w:val="0000198D"/>
    <w:rsid w:val="00005975"/>
    <w:rsid w:val="00010C41"/>
    <w:rsid w:val="0001374E"/>
    <w:rsid w:val="000159A6"/>
    <w:rsid w:val="0001722A"/>
    <w:rsid w:val="00017651"/>
    <w:rsid w:val="00022400"/>
    <w:rsid w:val="000336BD"/>
    <w:rsid w:val="000361C8"/>
    <w:rsid w:val="00040141"/>
    <w:rsid w:val="0004075A"/>
    <w:rsid w:val="000409BE"/>
    <w:rsid w:val="0004167C"/>
    <w:rsid w:val="00041C3D"/>
    <w:rsid w:val="00043C1C"/>
    <w:rsid w:val="00044E73"/>
    <w:rsid w:val="00045EA8"/>
    <w:rsid w:val="00046663"/>
    <w:rsid w:val="00053D84"/>
    <w:rsid w:val="00053E1A"/>
    <w:rsid w:val="000542BB"/>
    <w:rsid w:val="0005498D"/>
    <w:rsid w:val="000618FC"/>
    <w:rsid w:val="00066A6E"/>
    <w:rsid w:val="000722D1"/>
    <w:rsid w:val="00075D71"/>
    <w:rsid w:val="00082E6D"/>
    <w:rsid w:val="00084AB1"/>
    <w:rsid w:val="00084D6B"/>
    <w:rsid w:val="0009265B"/>
    <w:rsid w:val="00092B8F"/>
    <w:rsid w:val="00092EA4"/>
    <w:rsid w:val="00094EF9"/>
    <w:rsid w:val="00095243"/>
    <w:rsid w:val="00097C11"/>
    <w:rsid w:val="000A06CD"/>
    <w:rsid w:val="000A2913"/>
    <w:rsid w:val="000A395C"/>
    <w:rsid w:val="000A5819"/>
    <w:rsid w:val="000A78A1"/>
    <w:rsid w:val="000B2E04"/>
    <w:rsid w:val="000B7557"/>
    <w:rsid w:val="000C01D9"/>
    <w:rsid w:val="000C5D79"/>
    <w:rsid w:val="000D097B"/>
    <w:rsid w:val="000D320A"/>
    <w:rsid w:val="000D4F94"/>
    <w:rsid w:val="000D7F61"/>
    <w:rsid w:val="000E016C"/>
    <w:rsid w:val="000E37BA"/>
    <w:rsid w:val="000E59E4"/>
    <w:rsid w:val="000E7982"/>
    <w:rsid w:val="000F2B3A"/>
    <w:rsid w:val="000F3863"/>
    <w:rsid w:val="000F3CA6"/>
    <w:rsid w:val="000F54AE"/>
    <w:rsid w:val="000F657B"/>
    <w:rsid w:val="00100CCC"/>
    <w:rsid w:val="0010423F"/>
    <w:rsid w:val="00105E92"/>
    <w:rsid w:val="00111BDD"/>
    <w:rsid w:val="00117547"/>
    <w:rsid w:val="001230F1"/>
    <w:rsid w:val="00131B18"/>
    <w:rsid w:val="0013277C"/>
    <w:rsid w:val="001335A3"/>
    <w:rsid w:val="001341CA"/>
    <w:rsid w:val="00136EA5"/>
    <w:rsid w:val="00141174"/>
    <w:rsid w:val="001453BF"/>
    <w:rsid w:val="00146B02"/>
    <w:rsid w:val="00146F18"/>
    <w:rsid w:val="00151E0A"/>
    <w:rsid w:val="00152FE0"/>
    <w:rsid w:val="001601AB"/>
    <w:rsid w:val="001602BF"/>
    <w:rsid w:val="00167C77"/>
    <w:rsid w:val="00172D08"/>
    <w:rsid w:val="00172F55"/>
    <w:rsid w:val="00174834"/>
    <w:rsid w:val="001828CD"/>
    <w:rsid w:val="00183BDA"/>
    <w:rsid w:val="00184494"/>
    <w:rsid w:val="00185E73"/>
    <w:rsid w:val="0019722F"/>
    <w:rsid w:val="001A4AF0"/>
    <w:rsid w:val="001A4BE6"/>
    <w:rsid w:val="001A5F1B"/>
    <w:rsid w:val="001A783D"/>
    <w:rsid w:val="001B09D7"/>
    <w:rsid w:val="001B13C3"/>
    <w:rsid w:val="001B6C99"/>
    <w:rsid w:val="001C2F45"/>
    <w:rsid w:val="001D0EDB"/>
    <w:rsid w:val="001D2AA2"/>
    <w:rsid w:val="001D3B7F"/>
    <w:rsid w:val="001D5F66"/>
    <w:rsid w:val="001E1C6F"/>
    <w:rsid w:val="001E40DC"/>
    <w:rsid w:val="001E4166"/>
    <w:rsid w:val="001E5282"/>
    <w:rsid w:val="001E6199"/>
    <w:rsid w:val="001F2559"/>
    <w:rsid w:val="001F31F8"/>
    <w:rsid w:val="001F455B"/>
    <w:rsid w:val="001F6CDE"/>
    <w:rsid w:val="002024CD"/>
    <w:rsid w:val="002029A1"/>
    <w:rsid w:val="00204049"/>
    <w:rsid w:val="00206BED"/>
    <w:rsid w:val="00206D55"/>
    <w:rsid w:val="00206D5B"/>
    <w:rsid w:val="00207BF6"/>
    <w:rsid w:val="00211919"/>
    <w:rsid w:val="00212BCB"/>
    <w:rsid w:val="00213069"/>
    <w:rsid w:val="002131A5"/>
    <w:rsid w:val="002177BC"/>
    <w:rsid w:val="00222716"/>
    <w:rsid w:val="00224344"/>
    <w:rsid w:val="00243C02"/>
    <w:rsid w:val="00244378"/>
    <w:rsid w:val="00245231"/>
    <w:rsid w:val="00247433"/>
    <w:rsid w:val="00247688"/>
    <w:rsid w:val="002504A8"/>
    <w:rsid w:val="00257B89"/>
    <w:rsid w:val="00263B21"/>
    <w:rsid w:val="00264E13"/>
    <w:rsid w:val="00273123"/>
    <w:rsid w:val="00273ED7"/>
    <w:rsid w:val="00274598"/>
    <w:rsid w:val="00282923"/>
    <w:rsid w:val="00291E75"/>
    <w:rsid w:val="00294DD3"/>
    <w:rsid w:val="00295890"/>
    <w:rsid w:val="002A237B"/>
    <w:rsid w:val="002A35E8"/>
    <w:rsid w:val="002A6F1E"/>
    <w:rsid w:val="002A7F69"/>
    <w:rsid w:val="002B12F0"/>
    <w:rsid w:val="002B31D0"/>
    <w:rsid w:val="002B6999"/>
    <w:rsid w:val="002C4F27"/>
    <w:rsid w:val="002C6BEE"/>
    <w:rsid w:val="002E17C4"/>
    <w:rsid w:val="002E269E"/>
    <w:rsid w:val="002E420B"/>
    <w:rsid w:val="002E4DA7"/>
    <w:rsid w:val="002E6C77"/>
    <w:rsid w:val="002E6E29"/>
    <w:rsid w:val="002E6EE6"/>
    <w:rsid w:val="002F06F0"/>
    <w:rsid w:val="00301850"/>
    <w:rsid w:val="00302832"/>
    <w:rsid w:val="0031337E"/>
    <w:rsid w:val="00313E41"/>
    <w:rsid w:val="003232CD"/>
    <w:rsid w:val="00325568"/>
    <w:rsid w:val="00330467"/>
    <w:rsid w:val="00332AE2"/>
    <w:rsid w:val="00337329"/>
    <w:rsid w:val="003400F1"/>
    <w:rsid w:val="003401C3"/>
    <w:rsid w:val="003438D7"/>
    <w:rsid w:val="00344407"/>
    <w:rsid w:val="00346FC5"/>
    <w:rsid w:val="00350404"/>
    <w:rsid w:val="00350989"/>
    <w:rsid w:val="00361E14"/>
    <w:rsid w:val="00365193"/>
    <w:rsid w:val="00367337"/>
    <w:rsid w:val="00373737"/>
    <w:rsid w:val="00375373"/>
    <w:rsid w:val="00375A13"/>
    <w:rsid w:val="0037717C"/>
    <w:rsid w:val="003837D3"/>
    <w:rsid w:val="00385532"/>
    <w:rsid w:val="00387877"/>
    <w:rsid w:val="00391548"/>
    <w:rsid w:val="00392558"/>
    <w:rsid w:val="003954C8"/>
    <w:rsid w:val="00395593"/>
    <w:rsid w:val="003963B3"/>
    <w:rsid w:val="003A26EF"/>
    <w:rsid w:val="003A2723"/>
    <w:rsid w:val="003B037B"/>
    <w:rsid w:val="003B1107"/>
    <w:rsid w:val="003B2A9C"/>
    <w:rsid w:val="003B3752"/>
    <w:rsid w:val="003B422F"/>
    <w:rsid w:val="003C0A3E"/>
    <w:rsid w:val="003D06ED"/>
    <w:rsid w:val="003D356C"/>
    <w:rsid w:val="003D4996"/>
    <w:rsid w:val="003D7AB4"/>
    <w:rsid w:val="003E4D02"/>
    <w:rsid w:val="003E7114"/>
    <w:rsid w:val="003E7EC1"/>
    <w:rsid w:val="003F0B48"/>
    <w:rsid w:val="003F2F0B"/>
    <w:rsid w:val="003F4379"/>
    <w:rsid w:val="004022FB"/>
    <w:rsid w:val="00403827"/>
    <w:rsid w:val="004049F6"/>
    <w:rsid w:val="00406AAD"/>
    <w:rsid w:val="00411E67"/>
    <w:rsid w:val="00415058"/>
    <w:rsid w:val="00416060"/>
    <w:rsid w:val="00416AA0"/>
    <w:rsid w:val="004174E4"/>
    <w:rsid w:val="00421E28"/>
    <w:rsid w:val="00423314"/>
    <w:rsid w:val="004268DD"/>
    <w:rsid w:val="00437EF7"/>
    <w:rsid w:val="00441B0F"/>
    <w:rsid w:val="00442878"/>
    <w:rsid w:val="0044313B"/>
    <w:rsid w:val="00444FE8"/>
    <w:rsid w:val="00447A42"/>
    <w:rsid w:val="004515AA"/>
    <w:rsid w:val="004516D5"/>
    <w:rsid w:val="00451EC6"/>
    <w:rsid w:val="00462CA0"/>
    <w:rsid w:val="00463F06"/>
    <w:rsid w:val="00464530"/>
    <w:rsid w:val="004679D8"/>
    <w:rsid w:val="0047029A"/>
    <w:rsid w:val="00471696"/>
    <w:rsid w:val="0047787B"/>
    <w:rsid w:val="00477AF9"/>
    <w:rsid w:val="00480574"/>
    <w:rsid w:val="00480DCE"/>
    <w:rsid w:val="00481FFA"/>
    <w:rsid w:val="00484B6C"/>
    <w:rsid w:val="00492E94"/>
    <w:rsid w:val="00493B7E"/>
    <w:rsid w:val="00496B54"/>
    <w:rsid w:val="004A110E"/>
    <w:rsid w:val="004A3965"/>
    <w:rsid w:val="004A5CD1"/>
    <w:rsid w:val="004A77C6"/>
    <w:rsid w:val="004B126E"/>
    <w:rsid w:val="004B1341"/>
    <w:rsid w:val="004B4A7C"/>
    <w:rsid w:val="004C186F"/>
    <w:rsid w:val="004C2B03"/>
    <w:rsid w:val="004C72D8"/>
    <w:rsid w:val="004D01C6"/>
    <w:rsid w:val="004D0970"/>
    <w:rsid w:val="004E5CCD"/>
    <w:rsid w:val="004E74E0"/>
    <w:rsid w:val="004F2290"/>
    <w:rsid w:val="004F312C"/>
    <w:rsid w:val="004F42B7"/>
    <w:rsid w:val="00500B00"/>
    <w:rsid w:val="00501094"/>
    <w:rsid w:val="00503F97"/>
    <w:rsid w:val="00510F62"/>
    <w:rsid w:val="00511C69"/>
    <w:rsid w:val="00512FB4"/>
    <w:rsid w:val="005136C0"/>
    <w:rsid w:val="00516359"/>
    <w:rsid w:val="00516D75"/>
    <w:rsid w:val="00523CBD"/>
    <w:rsid w:val="00526839"/>
    <w:rsid w:val="00534847"/>
    <w:rsid w:val="00534975"/>
    <w:rsid w:val="00543574"/>
    <w:rsid w:val="0054550D"/>
    <w:rsid w:val="00554DB8"/>
    <w:rsid w:val="0056052E"/>
    <w:rsid w:val="00561FF5"/>
    <w:rsid w:val="0056264E"/>
    <w:rsid w:val="00562BB8"/>
    <w:rsid w:val="00565818"/>
    <w:rsid w:val="0057378E"/>
    <w:rsid w:val="00574BBC"/>
    <w:rsid w:val="00575675"/>
    <w:rsid w:val="005758D4"/>
    <w:rsid w:val="00576DEC"/>
    <w:rsid w:val="0057731B"/>
    <w:rsid w:val="005831C6"/>
    <w:rsid w:val="0059415A"/>
    <w:rsid w:val="00597A6F"/>
    <w:rsid w:val="005A3FC7"/>
    <w:rsid w:val="005A485B"/>
    <w:rsid w:val="005A5828"/>
    <w:rsid w:val="005A5E82"/>
    <w:rsid w:val="005B0D14"/>
    <w:rsid w:val="005B4A5D"/>
    <w:rsid w:val="005B6FF7"/>
    <w:rsid w:val="005C0956"/>
    <w:rsid w:val="005C3AF5"/>
    <w:rsid w:val="005C65DC"/>
    <w:rsid w:val="005C75D8"/>
    <w:rsid w:val="005D2E05"/>
    <w:rsid w:val="005D3ECF"/>
    <w:rsid w:val="005D4935"/>
    <w:rsid w:val="005E1084"/>
    <w:rsid w:val="005E1C80"/>
    <w:rsid w:val="005E45C9"/>
    <w:rsid w:val="005E4C81"/>
    <w:rsid w:val="005F0856"/>
    <w:rsid w:val="005F31E0"/>
    <w:rsid w:val="005F4A51"/>
    <w:rsid w:val="0060144C"/>
    <w:rsid w:val="006051AA"/>
    <w:rsid w:val="00615AC4"/>
    <w:rsid w:val="00620231"/>
    <w:rsid w:val="00623BA9"/>
    <w:rsid w:val="006276DA"/>
    <w:rsid w:val="00635878"/>
    <w:rsid w:val="006422C8"/>
    <w:rsid w:val="0064269E"/>
    <w:rsid w:val="00643FC9"/>
    <w:rsid w:val="00647CC6"/>
    <w:rsid w:val="006503F2"/>
    <w:rsid w:val="0065380E"/>
    <w:rsid w:val="00654779"/>
    <w:rsid w:val="006571C5"/>
    <w:rsid w:val="0066278F"/>
    <w:rsid w:val="006643BF"/>
    <w:rsid w:val="00664EFF"/>
    <w:rsid w:val="00664F81"/>
    <w:rsid w:val="006758BE"/>
    <w:rsid w:val="00677F60"/>
    <w:rsid w:val="00680047"/>
    <w:rsid w:val="00680D45"/>
    <w:rsid w:val="006818A0"/>
    <w:rsid w:val="006818BE"/>
    <w:rsid w:val="00684AD3"/>
    <w:rsid w:val="00692101"/>
    <w:rsid w:val="0069263C"/>
    <w:rsid w:val="00694F9D"/>
    <w:rsid w:val="00695539"/>
    <w:rsid w:val="0069684A"/>
    <w:rsid w:val="006A0165"/>
    <w:rsid w:val="006A11C7"/>
    <w:rsid w:val="006A395C"/>
    <w:rsid w:val="006A43F1"/>
    <w:rsid w:val="006A7583"/>
    <w:rsid w:val="006A76F7"/>
    <w:rsid w:val="006B1F0D"/>
    <w:rsid w:val="006B403C"/>
    <w:rsid w:val="006B7206"/>
    <w:rsid w:val="006C2CDE"/>
    <w:rsid w:val="006C4539"/>
    <w:rsid w:val="006D1499"/>
    <w:rsid w:val="006D5AD4"/>
    <w:rsid w:val="006E3A86"/>
    <w:rsid w:val="006F163E"/>
    <w:rsid w:val="006F760C"/>
    <w:rsid w:val="007005A0"/>
    <w:rsid w:val="00700A7F"/>
    <w:rsid w:val="007038A9"/>
    <w:rsid w:val="007039E6"/>
    <w:rsid w:val="00705AD4"/>
    <w:rsid w:val="00711398"/>
    <w:rsid w:val="00715BC9"/>
    <w:rsid w:val="00722DE1"/>
    <w:rsid w:val="00731DF2"/>
    <w:rsid w:val="007329E9"/>
    <w:rsid w:val="007360E6"/>
    <w:rsid w:val="00742AEB"/>
    <w:rsid w:val="007447F0"/>
    <w:rsid w:val="00755123"/>
    <w:rsid w:val="00755A21"/>
    <w:rsid w:val="00765A39"/>
    <w:rsid w:val="00766A33"/>
    <w:rsid w:val="007709C9"/>
    <w:rsid w:val="00775294"/>
    <w:rsid w:val="00777783"/>
    <w:rsid w:val="007804E3"/>
    <w:rsid w:val="00780579"/>
    <w:rsid w:val="00785084"/>
    <w:rsid w:val="00793B28"/>
    <w:rsid w:val="0079686D"/>
    <w:rsid w:val="007A6A53"/>
    <w:rsid w:val="007A6B3D"/>
    <w:rsid w:val="007B5886"/>
    <w:rsid w:val="007C44D0"/>
    <w:rsid w:val="007C6226"/>
    <w:rsid w:val="007D23CA"/>
    <w:rsid w:val="007D55D5"/>
    <w:rsid w:val="007D61D7"/>
    <w:rsid w:val="007D6A67"/>
    <w:rsid w:val="007D6F19"/>
    <w:rsid w:val="007E46A8"/>
    <w:rsid w:val="007E5548"/>
    <w:rsid w:val="007E5857"/>
    <w:rsid w:val="007E7841"/>
    <w:rsid w:val="007F0840"/>
    <w:rsid w:val="007F32C4"/>
    <w:rsid w:val="007F5B6C"/>
    <w:rsid w:val="007F7808"/>
    <w:rsid w:val="00803568"/>
    <w:rsid w:val="00806DF9"/>
    <w:rsid w:val="00812B18"/>
    <w:rsid w:val="0081610F"/>
    <w:rsid w:val="00820A95"/>
    <w:rsid w:val="008217E9"/>
    <w:rsid w:val="0082288F"/>
    <w:rsid w:val="00823148"/>
    <w:rsid w:val="008270CC"/>
    <w:rsid w:val="00831141"/>
    <w:rsid w:val="008341F2"/>
    <w:rsid w:val="00834272"/>
    <w:rsid w:val="008345FA"/>
    <w:rsid w:val="00837BCB"/>
    <w:rsid w:val="0084488F"/>
    <w:rsid w:val="00846480"/>
    <w:rsid w:val="00851E58"/>
    <w:rsid w:val="00855CD2"/>
    <w:rsid w:val="008570AE"/>
    <w:rsid w:val="008609ED"/>
    <w:rsid w:val="008675C4"/>
    <w:rsid w:val="00873D7B"/>
    <w:rsid w:val="008740BE"/>
    <w:rsid w:val="00876917"/>
    <w:rsid w:val="00880119"/>
    <w:rsid w:val="0088174F"/>
    <w:rsid w:val="0088210F"/>
    <w:rsid w:val="00890E90"/>
    <w:rsid w:val="00894151"/>
    <w:rsid w:val="008A076F"/>
    <w:rsid w:val="008A596F"/>
    <w:rsid w:val="008A5AB7"/>
    <w:rsid w:val="008C4088"/>
    <w:rsid w:val="008C4935"/>
    <w:rsid w:val="008C5D1E"/>
    <w:rsid w:val="008D0728"/>
    <w:rsid w:val="008D2A5F"/>
    <w:rsid w:val="008D5F88"/>
    <w:rsid w:val="008E249F"/>
    <w:rsid w:val="008E2E44"/>
    <w:rsid w:val="008E51B4"/>
    <w:rsid w:val="008F156B"/>
    <w:rsid w:val="008F17BD"/>
    <w:rsid w:val="008F72BA"/>
    <w:rsid w:val="008F7846"/>
    <w:rsid w:val="009020CC"/>
    <w:rsid w:val="00903D3C"/>
    <w:rsid w:val="0090706E"/>
    <w:rsid w:val="0090711E"/>
    <w:rsid w:val="0091059B"/>
    <w:rsid w:val="009128C5"/>
    <w:rsid w:val="0091583E"/>
    <w:rsid w:val="00915E6B"/>
    <w:rsid w:val="00930117"/>
    <w:rsid w:val="00931432"/>
    <w:rsid w:val="0093373C"/>
    <w:rsid w:val="00947FE2"/>
    <w:rsid w:val="009504C6"/>
    <w:rsid w:val="00954863"/>
    <w:rsid w:val="00955830"/>
    <w:rsid w:val="00957576"/>
    <w:rsid w:val="00957F11"/>
    <w:rsid w:val="00965A91"/>
    <w:rsid w:val="009672E6"/>
    <w:rsid w:val="0096783C"/>
    <w:rsid w:val="00974DE9"/>
    <w:rsid w:val="00977DD2"/>
    <w:rsid w:val="00984A47"/>
    <w:rsid w:val="0098674F"/>
    <w:rsid w:val="0099024F"/>
    <w:rsid w:val="00991B5C"/>
    <w:rsid w:val="00995463"/>
    <w:rsid w:val="009971BB"/>
    <w:rsid w:val="009A0575"/>
    <w:rsid w:val="009A0694"/>
    <w:rsid w:val="009A596D"/>
    <w:rsid w:val="009A59B0"/>
    <w:rsid w:val="009A5D69"/>
    <w:rsid w:val="009B0BDB"/>
    <w:rsid w:val="009B2B41"/>
    <w:rsid w:val="009B335F"/>
    <w:rsid w:val="009B756A"/>
    <w:rsid w:val="009C539B"/>
    <w:rsid w:val="009C7CD8"/>
    <w:rsid w:val="009D3E8B"/>
    <w:rsid w:val="009D3EED"/>
    <w:rsid w:val="009D435C"/>
    <w:rsid w:val="009D511F"/>
    <w:rsid w:val="009D6F21"/>
    <w:rsid w:val="009E30BC"/>
    <w:rsid w:val="009E3AF3"/>
    <w:rsid w:val="009E4969"/>
    <w:rsid w:val="009E4D16"/>
    <w:rsid w:val="009E5C7D"/>
    <w:rsid w:val="009F1C55"/>
    <w:rsid w:val="009F352D"/>
    <w:rsid w:val="00A01CD2"/>
    <w:rsid w:val="00A05063"/>
    <w:rsid w:val="00A06A0F"/>
    <w:rsid w:val="00A119C6"/>
    <w:rsid w:val="00A12D09"/>
    <w:rsid w:val="00A14E18"/>
    <w:rsid w:val="00A14F67"/>
    <w:rsid w:val="00A23975"/>
    <w:rsid w:val="00A264E6"/>
    <w:rsid w:val="00A27E6D"/>
    <w:rsid w:val="00A31725"/>
    <w:rsid w:val="00A35B57"/>
    <w:rsid w:val="00A36B30"/>
    <w:rsid w:val="00A36CF5"/>
    <w:rsid w:val="00A42C0D"/>
    <w:rsid w:val="00A43D96"/>
    <w:rsid w:val="00A45898"/>
    <w:rsid w:val="00A50B7F"/>
    <w:rsid w:val="00A5461F"/>
    <w:rsid w:val="00A55D57"/>
    <w:rsid w:val="00A6102D"/>
    <w:rsid w:val="00A63703"/>
    <w:rsid w:val="00A64F78"/>
    <w:rsid w:val="00A654C0"/>
    <w:rsid w:val="00A70A7E"/>
    <w:rsid w:val="00A71D65"/>
    <w:rsid w:val="00A7376B"/>
    <w:rsid w:val="00A73930"/>
    <w:rsid w:val="00A73DF3"/>
    <w:rsid w:val="00A76F0D"/>
    <w:rsid w:val="00A81B32"/>
    <w:rsid w:val="00A82376"/>
    <w:rsid w:val="00A83257"/>
    <w:rsid w:val="00A833E4"/>
    <w:rsid w:val="00A87239"/>
    <w:rsid w:val="00A90688"/>
    <w:rsid w:val="00A92183"/>
    <w:rsid w:val="00A943E8"/>
    <w:rsid w:val="00A968BD"/>
    <w:rsid w:val="00AA0B60"/>
    <w:rsid w:val="00AA2340"/>
    <w:rsid w:val="00AA489E"/>
    <w:rsid w:val="00AA6745"/>
    <w:rsid w:val="00AA7A91"/>
    <w:rsid w:val="00AB385B"/>
    <w:rsid w:val="00AB469B"/>
    <w:rsid w:val="00AB6D22"/>
    <w:rsid w:val="00AC1131"/>
    <w:rsid w:val="00AC1D40"/>
    <w:rsid w:val="00AC3AE4"/>
    <w:rsid w:val="00AC4EA1"/>
    <w:rsid w:val="00AD1B4C"/>
    <w:rsid w:val="00AD3173"/>
    <w:rsid w:val="00AD61F2"/>
    <w:rsid w:val="00AE2920"/>
    <w:rsid w:val="00AE72A6"/>
    <w:rsid w:val="00AF28BE"/>
    <w:rsid w:val="00AF323E"/>
    <w:rsid w:val="00AF3C42"/>
    <w:rsid w:val="00AF3F3B"/>
    <w:rsid w:val="00AF6D71"/>
    <w:rsid w:val="00B12332"/>
    <w:rsid w:val="00B12ADE"/>
    <w:rsid w:val="00B14A05"/>
    <w:rsid w:val="00B23E4E"/>
    <w:rsid w:val="00B2465C"/>
    <w:rsid w:val="00B24B1B"/>
    <w:rsid w:val="00B270CB"/>
    <w:rsid w:val="00B27748"/>
    <w:rsid w:val="00B3772F"/>
    <w:rsid w:val="00B403B2"/>
    <w:rsid w:val="00B429ED"/>
    <w:rsid w:val="00B42A03"/>
    <w:rsid w:val="00B46E78"/>
    <w:rsid w:val="00B46FD5"/>
    <w:rsid w:val="00B52376"/>
    <w:rsid w:val="00B53339"/>
    <w:rsid w:val="00B543EF"/>
    <w:rsid w:val="00B64A72"/>
    <w:rsid w:val="00B71020"/>
    <w:rsid w:val="00B71239"/>
    <w:rsid w:val="00B73014"/>
    <w:rsid w:val="00B73992"/>
    <w:rsid w:val="00B7564E"/>
    <w:rsid w:val="00B77FAF"/>
    <w:rsid w:val="00B87D1F"/>
    <w:rsid w:val="00B90135"/>
    <w:rsid w:val="00B90572"/>
    <w:rsid w:val="00B912FC"/>
    <w:rsid w:val="00B927F6"/>
    <w:rsid w:val="00B97581"/>
    <w:rsid w:val="00BA1E0C"/>
    <w:rsid w:val="00BA2B13"/>
    <w:rsid w:val="00BA2D48"/>
    <w:rsid w:val="00BA68F1"/>
    <w:rsid w:val="00BC20F3"/>
    <w:rsid w:val="00BC3955"/>
    <w:rsid w:val="00BC5855"/>
    <w:rsid w:val="00BD1BCC"/>
    <w:rsid w:val="00BD1FB9"/>
    <w:rsid w:val="00BD50BF"/>
    <w:rsid w:val="00BD5249"/>
    <w:rsid w:val="00BE0D6D"/>
    <w:rsid w:val="00BE3B96"/>
    <w:rsid w:val="00BF232B"/>
    <w:rsid w:val="00BF6032"/>
    <w:rsid w:val="00BF7C01"/>
    <w:rsid w:val="00C0080A"/>
    <w:rsid w:val="00C00FC3"/>
    <w:rsid w:val="00C0720C"/>
    <w:rsid w:val="00C07F4A"/>
    <w:rsid w:val="00C1267B"/>
    <w:rsid w:val="00C13B17"/>
    <w:rsid w:val="00C21840"/>
    <w:rsid w:val="00C256BC"/>
    <w:rsid w:val="00C27288"/>
    <w:rsid w:val="00C27437"/>
    <w:rsid w:val="00C27588"/>
    <w:rsid w:val="00C27646"/>
    <w:rsid w:val="00C31A63"/>
    <w:rsid w:val="00C3685D"/>
    <w:rsid w:val="00C37551"/>
    <w:rsid w:val="00C42257"/>
    <w:rsid w:val="00C4261E"/>
    <w:rsid w:val="00C43089"/>
    <w:rsid w:val="00C53101"/>
    <w:rsid w:val="00C55324"/>
    <w:rsid w:val="00C5683E"/>
    <w:rsid w:val="00C57DB1"/>
    <w:rsid w:val="00C65599"/>
    <w:rsid w:val="00C675F1"/>
    <w:rsid w:val="00C71823"/>
    <w:rsid w:val="00C72609"/>
    <w:rsid w:val="00C727C9"/>
    <w:rsid w:val="00C72818"/>
    <w:rsid w:val="00C7318C"/>
    <w:rsid w:val="00C74ED7"/>
    <w:rsid w:val="00C75AFD"/>
    <w:rsid w:val="00C816F7"/>
    <w:rsid w:val="00C83D53"/>
    <w:rsid w:val="00CA0B34"/>
    <w:rsid w:val="00CA14B3"/>
    <w:rsid w:val="00CA19CD"/>
    <w:rsid w:val="00CA3E89"/>
    <w:rsid w:val="00CA5D58"/>
    <w:rsid w:val="00CA6CFD"/>
    <w:rsid w:val="00CB38AD"/>
    <w:rsid w:val="00CB4E4C"/>
    <w:rsid w:val="00CC3706"/>
    <w:rsid w:val="00CC3AAC"/>
    <w:rsid w:val="00CC497A"/>
    <w:rsid w:val="00CC6322"/>
    <w:rsid w:val="00CD405F"/>
    <w:rsid w:val="00CD47F2"/>
    <w:rsid w:val="00CD5C86"/>
    <w:rsid w:val="00CD72A4"/>
    <w:rsid w:val="00CD73C2"/>
    <w:rsid w:val="00CE21E4"/>
    <w:rsid w:val="00CE2465"/>
    <w:rsid w:val="00CE3A11"/>
    <w:rsid w:val="00CE5537"/>
    <w:rsid w:val="00CE6876"/>
    <w:rsid w:val="00CE7C01"/>
    <w:rsid w:val="00CF17EB"/>
    <w:rsid w:val="00CF18F1"/>
    <w:rsid w:val="00CF2575"/>
    <w:rsid w:val="00CF3874"/>
    <w:rsid w:val="00D00180"/>
    <w:rsid w:val="00D00D33"/>
    <w:rsid w:val="00D03569"/>
    <w:rsid w:val="00D126EE"/>
    <w:rsid w:val="00D1536B"/>
    <w:rsid w:val="00D15AF3"/>
    <w:rsid w:val="00D16B5A"/>
    <w:rsid w:val="00D17030"/>
    <w:rsid w:val="00D21BD6"/>
    <w:rsid w:val="00D240FA"/>
    <w:rsid w:val="00D2559D"/>
    <w:rsid w:val="00D266FC"/>
    <w:rsid w:val="00D26DAD"/>
    <w:rsid w:val="00D37E0C"/>
    <w:rsid w:val="00D4041B"/>
    <w:rsid w:val="00D4321A"/>
    <w:rsid w:val="00D461DE"/>
    <w:rsid w:val="00D47F6E"/>
    <w:rsid w:val="00D509BC"/>
    <w:rsid w:val="00D5733D"/>
    <w:rsid w:val="00D65B3D"/>
    <w:rsid w:val="00D66189"/>
    <w:rsid w:val="00D70FF0"/>
    <w:rsid w:val="00D720C1"/>
    <w:rsid w:val="00D72CA8"/>
    <w:rsid w:val="00D87A57"/>
    <w:rsid w:val="00D939BF"/>
    <w:rsid w:val="00DA3342"/>
    <w:rsid w:val="00DA3CB4"/>
    <w:rsid w:val="00DB7D78"/>
    <w:rsid w:val="00DC02E6"/>
    <w:rsid w:val="00DC22DE"/>
    <w:rsid w:val="00DC26E8"/>
    <w:rsid w:val="00DC521C"/>
    <w:rsid w:val="00DC57CF"/>
    <w:rsid w:val="00DD3DA4"/>
    <w:rsid w:val="00DD7DAC"/>
    <w:rsid w:val="00DE5D49"/>
    <w:rsid w:val="00DE6486"/>
    <w:rsid w:val="00DF1581"/>
    <w:rsid w:val="00DF1A49"/>
    <w:rsid w:val="00DF1C60"/>
    <w:rsid w:val="00DF5441"/>
    <w:rsid w:val="00E006F8"/>
    <w:rsid w:val="00E024C9"/>
    <w:rsid w:val="00E057DF"/>
    <w:rsid w:val="00E162F1"/>
    <w:rsid w:val="00E16FB4"/>
    <w:rsid w:val="00E209F2"/>
    <w:rsid w:val="00E26710"/>
    <w:rsid w:val="00E274B3"/>
    <w:rsid w:val="00E31639"/>
    <w:rsid w:val="00E327EB"/>
    <w:rsid w:val="00E33428"/>
    <w:rsid w:val="00E349DD"/>
    <w:rsid w:val="00E400E5"/>
    <w:rsid w:val="00E4027E"/>
    <w:rsid w:val="00E40A0F"/>
    <w:rsid w:val="00E42735"/>
    <w:rsid w:val="00E50B5B"/>
    <w:rsid w:val="00E51EC7"/>
    <w:rsid w:val="00E52E2C"/>
    <w:rsid w:val="00E5487F"/>
    <w:rsid w:val="00E5730F"/>
    <w:rsid w:val="00E60220"/>
    <w:rsid w:val="00E6617A"/>
    <w:rsid w:val="00E708D7"/>
    <w:rsid w:val="00E81D42"/>
    <w:rsid w:val="00E9118C"/>
    <w:rsid w:val="00E9159C"/>
    <w:rsid w:val="00E91FF7"/>
    <w:rsid w:val="00E96C21"/>
    <w:rsid w:val="00EA166E"/>
    <w:rsid w:val="00EA2651"/>
    <w:rsid w:val="00EA7111"/>
    <w:rsid w:val="00EB2218"/>
    <w:rsid w:val="00EB54C7"/>
    <w:rsid w:val="00EB66B1"/>
    <w:rsid w:val="00EC02A6"/>
    <w:rsid w:val="00EC3D22"/>
    <w:rsid w:val="00EC78A9"/>
    <w:rsid w:val="00ED0437"/>
    <w:rsid w:val="00ED28F8"/>
    <w:rsid w:val="00ED3253"/>
    <w:rsid w:val="00ED3523"/>
    <w:rsid w:val="00ED4CF4"/>
    <w:rsid w:val="00ED51D3"/>
    <w:rsid w:val="00ED6A68"/>
    <w:rsid w:val="00EF377F"/>
    <w:rsid w:val="00EF3CB6"/>
    <w:rsid w:val="00EF50C8"/>
    <w:rsid w:val="00F012AB"/>
    <w:rsid w:val="00F02691"/>
    <w:rsid w:val="00F04502"/>
    <w:rsid w:val="00F0509F"/>
    <w:rsid w:val="00F05186"/>
    <w:rsid w:val="00F0639D"/>
    <w:rsid w:val="00F06936"/>
    <w:rsid w:val="00F15911"/>
    <w:rsid w:val="00F210EB"/>
    <w:rsid w:val="00F276D2"/>
    <w:rsid w:val="00F30862"/>
    <w:rsid w:val="00F308D1"/>
    <w:rsid w:val="00F33FCD"/>
    <w:rsid w:val="00F340DC"/>
    <w:rsid w:val="00F34597"/>
    <w:rsid w:val="00F367F1"/>
    <w:rsid w:val="00F41137"/>
    <w:rsid w:val="00F419B2"/>
    <w:rsid w:val="00F44CD5"/>
    <w:rsid w:val="00F45C9F"/>
    <w:rsid w:val="00F46384"/>
    <w:rsid w:val="00F52F63"/>
    <w:rsid w:val="00F530AD"/>
    <w:rsid w:val="00F5599F"/>
    <w:rsid w:val="00F62A20"/>
    <w:rsid w:val="00F714F5"/>
    <w:rsid w:val="00F72C55"/>
    <w:rsid w:val="00F72E0C"/>
    <w:rsid w:val="00F74A5F"/>
    <w:rsid w:val="00F82EF6"/>
    <w:rsid w:val="00F90497"/>
    <w:rsid w:val="00F941DA"/>
    <w:rsid w:val="00F95769"/>
    <w:rsid w:val="00FA5238"/>
    <w:rsid w:val="00FA5809"/>
    <w:rsid w:val="00FB48C3"/>
    <w:rsid w:val="00FB5F8F"/>
    <w:rsid w:val="00FB652F"/>
    <w:rsid w:val="00FB7936"/>
    <w:rsid w:val="00FC70B2"/>
    <w:rsid w:val="00FD1B06"/>
    <w:rsid w:val="00FD2695"/>
    <w:rsid w:val="00FD3EDA"/>
    <w:rsid w:val="00FD4CE7"/>
    <w:rsid w:val="00FD4E26"/>
    <w:rsid w:val="00FD5EC7"/>
    <w:rsid w:val="00FE0A1E"/>
    <w:rsid w:val="00FE1B66"/>
    <w:rsid w:val="00FE6E4F"/>
    <w:rsid w:val="00FF0B66"/>
    <w:rsid w:val="00FF1585"/>
    <w:rsid w:val="00FF6EE8"/>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24F4350"/>
  <w15:chartTrackingRefBased/>
  <w15:docId w15:val="{141DE385-DC78-4B50-8803-B50B12742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nl-NL" w:eastAsia="nl-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81D42"/>
    <w:pPr>
      <w:spacing w:after="120"/>
    </w:pPr>
    <w:rPr>
      <w:sz w:val="24"/>
      <w:szCs w:val="24"/>
      <w:lang w:val="en-GB" w:eastAsia="en-US"/>
    </w:rPr>
  </w:style>
  <w:style w:type="paragraph" w:styleId="Heading1">
    <w:name w:val="heading 1"/>
    <w:basedOn w:val="Normal"/>
    <w:next w:val="Normal"/>
    <w:link w:val="Heading1Char"/>
    <w:autoRedefine/>
    <w:uiPriority w:val="9"/>
    <w:qFormat/>
    <w:rsid w:val="001A4BE6"/>
    <w:pPr>
      <w:keepNext/>
      <w:keepLines/>
      <w:pageBreakBefore/>
      <w:numPr>
        <w:numId w:val="15"/>
      </w:numPr>
      <w:spacing w:after="0"/>
      <w:ind w:left="567" w:hanging="567"/>
      <w:outlineLvl w:val="0"/>
    </w:pPr>
    <w:rPr>
      <w:rFonts w:eastAsia="SimSun" w:cs="Times New Roman"/>
      <w:b/>
      <w:bCs/>
      <w:szCs w:val="20"/>
      <w:lang w:val="en-US" w:eastAsia="x-none"/>
    </w:rPr>
  </w:style>
  <w:style w:type="paragraph" w:styleId="Heading2">
    <w:name w:val="heading 2"/>
    <w:basedOn w:val="Normal"/>
    <w:next w:val="Normal"/>
    <w:link w:val="Heading2Char"/>
    <w:autoRedefine/>
    <w:uiPriority w:val="9"/>
    <w:unhideWhenUsed/>
    <w:qFormat/>
    <w:rsid w:val="004F312C"/>
    <w:pPr>
      <w:keepNext/>
      <w:keepLines/>
      <w:numPr>
        <w:ilvl w:val="1"/>
        <w:numId w:val="15"/>
      </w:numPr>
      <w:spacing w:after="0"/>
      <w:outlineLvl w:val="1"/>
    </w:pPr>
    <w:rPr>
      <w:rFonts w:eastAsia="SimSun"/>
      <w:b/>
      <w:bCs/>
      <w:lang w:eastAsia="en-GB"/>
    </w:rPr>
  </w:style>
  <w:style w:type="paragraph" w:styleId="Heading3">
    <w:name w:val="heading 3"/>
    <w:basedOn w:val="Normal"/>
    <w:next w:val="Normal"/>
    <w:link w:val="Heading3Char"/>
    <w:autoRedefine/>
    <w:uiPriority w:val="9"/>
    <w:unhideWhenUsed/>
    <w:qFormat/>
    <w:rsid w:val="00D126EE"/>
    <w:pPr>
      <w:keepNext/>
      <w:keepLines/>
      <w:numPr>
        <w:ilvl w:val="2"/>
        <w:numId w:val="15"/>
      </w:numPr>
      <w:spacing w:after="0"/>
      <w:outlineLvl w:val="2"/>
    </w:pPr>
    <w:rPr>
      <w:rFonts w:eastAsia="SimSun" w:cs="Times New Roman"/>
      <w:b/>
      <w:bCs/>
      <w:lang w:val="x-none"/>
    </w:rPr>
  </w:style>
  <w:style w:type="paragraph" w:styleId="Heading4">
    <w:name w:val="heading 4"/>
    <w:basedOn w:val="Normal"/>
    <w:next w:val="Normal"/>
    <w:link w:val="Heading4Char"/>
    <w:autoRedefine/>
    <w:uiPriority w:val="9"/>
    <w:unhideWhenUsed/>
    <w:rsid w:val="00EB66B1"/>
    <w:pPr>
      <w:keepNext/>
      <w:keepLines/>
      <w:numPr>
        <w:ilvl w:val="3"/>
        <w:numId w:val="15"/>
      </w:numPr>
      <w:spacing w:before="240"/>
      <w:outlineLvl w:val="3"/>
    </w:pPr>
    <w:rPr>
      <w:rFonts w:eastAsia="SimSun" w:cs="Times New Roman"/>
      <w:b/>
      <w:bCs/>
      <w:iCs/>
      <w:sz w:val="20"/>
      <w:szCs w:val="20"/>
      <w:lang w:val="x-none" w:eastAsia="x-none"/>
    </w:rPr>
  </w:style>
  <w:style w:type="paragraph" w:styleId="Heading5">
    <w:name w:val="heading 5"/>
    <w:basedOn w:val="Normal"/>
    <w:next w:val="Normal"/>
    <w:link w:val="Heading5Char"/>
    <w:autoRedefine/>
    <w:uiPriority w:val="9"/>
    <w:unhideWhenUsed/>
    <w:rsid w:val="00273123"/>
    <w:pPr>
      <w:keepNext/>
      <w:keepLines/>
      <w:numPr>
        <w:ilvl w:val="4"/>
        <w:numId w:val="15"/>
      </w:numPr>
      <w:spacing w:before="240"/>
      <w:outlineLvl w:val="4"/>
    </w:pPr>
    <w:rPr>
      <w:rFonts w:eastAsia="SimSun" w:cs="Times New Roman"/>
      <w:b/>
      <w:sz w:val="20"/>
      <w:szCs w:val="20"/>
      <w:lang w:val="x-none" w:eastAsia="x-none"/>
    </w:rPr>
  </w:style>
  <w:style w:type="paragraph" w:styleId="Heading6">
    <w:name w:val="heading 6"/>
    <w:basedOn w:val="Normal"/>
    <w:next w:val="Normal"/>
    <w:link w:val="Heading6Char"/>
    <w:uiPriority w:val="9"/>
    <w:unhideWhenUsed/>
    <w:rsid w:val="006F163E"/>
    <w:pPr>
      <w:keepNext/>
      <w:keepLines/>
      <w:numPr>
        <w:ilvl w:val="5"/>
        <w:numId w:val="15"/>
      </w:numPr>
      <w:spacing w:before="240"/>
      <w:outlineLvl w:val="5"/>
    </w:pPr>
    <w:rPr>
      <w:rFonts w:eastAsia="SimSun" w:cs="Times New Roman"/>
      <w:b/>
      <w:iCs/>
      <w:sz w:val="20"/>
      <w:szCs w:val="20"/>
      <w:lang w:val="x-none" w:eastAsia="x-none"/>
    </w:rPr>
  </w:style>
  <w:style w:type="paragraph" w:styleId="Heading7">
    <w:name w:val="heading 7"/>
    <w:basedOn w:val="Normal"/>
    <w:next w:val="Normal"/>
    <w:link w:val="Heading7Char"/>
    <w:uiPriority w:val="9"/>
    <w:unhideWhenUsed/>
    <w:rsid w:val="006F163E"/>
    <w:pPr>
      <w:keepNext/>
      <w:keepLines/>
      <w:numPr>
        <w:ilvl w:val="6"/>
        <w:numId w:val="15"/>
      </w:numPr>
      <w:spacing w:before="240"/>
      <w:outlineLvl w:val="6"/>
    </w:pPr>
    <w:rPr>
      <w:rFonts w:eastAsia="SimSun" w:cs="Times New Roman"/>
      <w:b/>
      <w:i/>
      <w:iCs/>
      <w:sz w:val="20"/>
      <w:szCs w:val="20"/>
      <w:lang w:val="x-none" w:eastAsia="x-none"/>
    </w:rPr>
  </w:style>
  <w:style w:type="paragraph" w:styleId="Heading8">
    <w:name w:val="heading 8"/>
    <w:basedOn w:val="Normal"/>
    <w:next w:val="Normal"/>
    <w:link w:val="Heading8Char"/>
    <w:uiPriority w:val="9"/>
    <w:unhideWhenUsed/>
    <w:rsid w:val="006F163E"/>
    <w:pPr>
      <w:keepNext/>
      <w:keepLines/>
      <w:numPr>
        <w:ilvl w:val="7"/>
        <w:numId w:val="15"/>
      </w:numPr>
      <w:spacing w:before="240"/>
      <w:outlineLvl w:val="7"/>
    </w:pPr>
    <w:rPr>
      <w:rFonts w:eastAsia="SimSun" w:cs="Times New Roman"/>
      <w:sz w:val="20"/>
      <w:szCs w:val="20"/>
      <w:lang w:val="x-none" w:eastAsia="x-none"/>
    </w:rPr>
  </w:style>
  <w:style w:type="paragraph" w:styleId="Heading9">
    <w:name w:val="heading 9"/>
    <w:basedOn w:val="Normal"/>
    <w:next w:val="Normal"/>
    <w:link w:val="Heading9Char"/>
    <w:uiPriority w:val="9"/>
    <w:unhideWhenUsed/>
    <w:rsid w:val="006F163E"/>
    <w:pPr>
      <w:keepNext/>
      <w:keepLines/>
      <w:numPr>
        <w:ilvl w:val="8"/>
        <w:numId w:val="15"/>
      </w:numPr>
      <w:spacing w:before="240"/>
      <w:outlineLvl w:val="8"/>
    </w:pPr>
    <w:rPr>
      <w:rFonts w:eastAsia="SimSun" w:cs="Times New Roman"/>
      <w:i/>
      <w:i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rFonts w:cs="Times New Roman"/>
      <w:b/>
      <w:sz w:val="28"/>
      <w:szCs w:val="20"/>
      <w:lang w:val="x-none" w:eastAsia="x-none"/>
    </w:rPr>
  </w:style>
  <w:style w:type="character" w:customStyle="1" w:styleId="SubheadingChar">
    <w:name w:val="Subheading Char"/>
    <w:link w:val="Subheading"/>
    <w:rsid w:val="00E209F2"/>
    <w:rPr>
      <w:rFonts w:ascii="Arial" w:hAnsi="Arial" w:cs="Arial"/>
      <w:b/>
      <w:sz w:val="28"/>
    </w:rPr>
  </w:style>
  <w:style w:type="paragraph" w:styleId="Caption">
    <w:name w:val="caption"/>
    <w:basedOn w:val="Normal"/>
    <w:next w:val="Normal"/>
    <w:uiPriority w:val="35"/>
    <w:unhideWhenUsed/>
    <w:qFormat/>
    <w:rsid w:val="009B335F"/>
    <w:rPr>
      <w:b/>
      <w:bCs/>
      <w:sz w:val="20"/>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contextualSpacing/>
      <w:outlineLvl w:val="0"/>
    </w:pPr>
    <w:rPr>
      <w:rFonts w:eastAsia="SimSun" w:cs="Times New Roman"/>
      <w:b/>
      <w:spacing w:val="5"/>
      <w:sz w:val="36"/>
      <w:szCs w:val="52"/>
      <w:lang w:val="x-none" w:eastAsia="x-none"/>
    </w:rPr>
  </w:style>
  <w:style w:type="character" w:customStyle="1" w:styleId="TitleChar">
    <w:name w:val="Title Char"/>
    <w:link w:val="Title"/>
    <w:uiPriority w:val="10"/>
    <w:rsid w:val="005B0D14"/>
    <w:rPr>
      <w:rFonts w:eastAsia="SimSun"/>
      <w:b/>
      <w:spacing w:val="5"/>
      <w:sz w:val="36"/>
      <w:szCs w:val="52"/>
    </w:rPr>
  </w:style>
  <w:style w:type="paragraph" w:styleId="Subtitle">
    <w:name w:val="Subtitle"/>
    <w:basedOn w:val="Normal"/>
    <w:next w:val="Normal"/>
    <w:link w:val="SubtitleChar"/>
    <w:autoRedefine/>
    <w:uiPriority w:val="11"/>
    <w:rsid w:val="00EB66B1"/>
    <w:pPr>
      <w:keepNext/>
      <w:numPr>
        <w:ilvl w:val="1"/>
      </w:numPr>
    </w:pPr>
    <w:rPr>
      <w:rFonts w:eastAsia="SimSun" w:cs="Times New Roman"/>
      <w:iCs/>
      <w:spacing w:val="15"/>
      <w:sz w:val="28"/>
      <w:lang w:val="x-none" w:eastAsia="x-none"/>
    </w:rPr>
  </w:style>
  <w:style w:type="character" w:customStyle="1" w:styleId="SubtitleChar">
    <w:name w:val="Subtitle Char"/>
    <w:link w:val="Subtitle"/>
    <w:uiPriority w:val="11"/>
    <w:rsid w:val="00EB66B1"/>
    <w:rPr>
      <w:rFonts w:ascii="Arial" w:eastAsia="SimSun" w:hAnsi="Arial" w:cs="Arial"/>
      <w:iCs/>
      <w:spacing w:val="15"/>
      <w:sz w:val="28"/>
      <w:szCs w:val="24"/>
    </w:rPr>
  </w:style>
  <w:style w:type="character" w:customStyle="1" w:styleId="Heading1Char">
    <w:name w:val="Heading 1 Char"/>
    <w:link w:val="Heading1"/>
    <w:uiPriority w:val="9"/>
    <w:rsid w:val="001A4BE6"/>
    <w:rPr>
      <w:rFonts w:eastAsia="SimSun" w:cs="Times New Roman"/>
      <w:b/>
      <w:bCs/>
      <w:sz w:val="24"/>
      <w:lang w:val="en-US" w:eastAsia="x-none"/>
    </w:rPr>
  </w:style>
  <w:style w:type="character" w:customStyle="1" w:styleId="Heading2Char">
    <w:name w:val="Heading 2 Char"/>
    <w:link w:val="Heading2"/>
    <w:uiPriority w:val="9"/>
    <w:rsid w:val="004F312C"/>
    <w:rPr>
      <w:rFonts w:eastAsia="SimSun"/>
      <w:b/>
      <w:bCs/>
      <w:sz w:val="24"/>
      <w:szCs w:val="24"/>
      <w:lang w:val="en-GB" w:eastAsia="en-GB"/>
    </w:rPr>
  </w:style>
  <w:style w:type="character" w:customStyle="1" w:styleId="Heading3Char">
    <w:name w:val="Heading 3 Char"/>
    <w:link w:val="Heading3"/>
    <w:uiPriority w:val="9"/>
    <w:rsid w:val="00D126EE"/>
    <w:rPr>
      <w:rFonts w:eastAsia="SimSun" w:cs="Times New Roman"/>
      <w:b/>
      <w:bCs/>
      <w:sz w:val="24"/>
      <w:szCs w:val="24"/>
      <w:lang w:val="x-none" w:eastAsia="en-US"/>
    </w:rPr>
  </w:style>
  <w:style w:type="character" w:customStyle="1" w:styleId="Heading4Char">
    <w:name w:val="Heading 4 Char"/>
    <w:link w:val="Heading4"/>
    <w:uiPriority w:val="9"/>
    <w:rsid w:val="00EB66B1"/>
    <w:rPr>
      <w:rFonts w:eastAsia="SimSun" w:cs="Times New Roman"/>
      <w:b/>
      <w:bCs/>
      <w:iCs/>
      <w:lang w:val="x-none" w:eastAsia="x-none"/>
    </w:rPr>
  </w:style>
  <w:style w:type="character" w:customStyle="1" w:styleId="Heading5Char">
    <w:name w:val="Heading 5 Char"/>
    <w:link w:val="Heading5"/>
    <w:uiPriority w:val="9"/>
    <w:rsid w:val="00273123"/>
    <w:rPr>
      <w:rFonts w:eastAsia="SimSun" w:cs="Times New Roman"/>
      <w:b/>
      <w:lang w:val="x-none" w:eastAsia="x-none"/>
    </w:rPr>
  </w:style>
  <w:style w:type="character" w:customStyle="1" w:styleId="Heading6Char">
    <w:name w:val="Heading 6 Char"/>
    <w:link w:val="Heading6"/>
    <w:uiPriority w:val="9"/>
    <w:rsid w:val="006F163E"/>
    <w:rPr>
      <w:rFonts w:eastAsia="SimSun" w:cs="Times New Roman"/>
      <w:b/>
      <w:iCs/>
      <w:lang w:val="x-none" w:eastAsia="x-none"/>
    </w:rPr>
  </w:style>
  <w:style w:type="paragraph" w:styleId="Quote">
    <w:name w:val="Quote"/>
    <w:basedOn w:val="Normal"/>
    <w:next w:val="Normal"/>
    <w:link w:val="QuoteChar1"/>
    <w:uiPriority w:val="29"/>
    <w:rsid w:val="00AD1B4C"/>
    <w:pPr>
      <w:ind w:left="794" w:right="794"/>
    </w:pPr>
    <w:rPr>
      <w:rFonts w:cs="Times New Roman"/>
      <w:i/>
      <w:iCs/>
      <w:sz w:val="20"/>
      <w:szCs w:val="20"/>
      <w:lang w:val="x-none" w:eastAsia="x-none"/>
    </w:rPr>
  </w:style>
  <w:style w:type="character" w:customStyle="1" w:styleId="QuoteChar">
    <w:name w:val="Quote Char"/>
    <w:uiPriority w:val="29"/>
    <w:rsid w:val="00E209F2"/>
    <w:rPr>
      <w:rFonts w:ascii="Arial" w:hAnsi="Arial" w:cs="Arial"/>
      <w:i/>
      <w:iCs/>
      <w:color w:val="000000"/>
      <w:sz w:val="28"/>
    </w:rPr>
  </w:style>
  <w:style w:type="character" w:customStyle="1" w:styleId="QuoteChar1">
    <w:name w:val="Quote Char1"/>
    <w:link w:val="Quote"/>
    <w:uiPriority w:val="29"/>
    <w:rsid w:val="00AD1B4C"/>
    <w:rPr>
      <w:i/>
      <w:iCs/>
    </w:rPr>
  </w:style>
  <w:style w:type="paragraph" w:styleId="ListBullet">
    <w:name w:val="List Bullet"/>
    <w:basedOn w:val="Normal"/>
    <w:uiPriority w:val="99"/>
    <w:semiHidden/>
    <w:unhideWhenUsed/>
    <w:rsid w:val="009672E6"/>
    <w:pPr>
      <w:numPr>
        <w:numId w:val="1"/>
      </w:numPr>
      <w:contextualSpacing/>
    </w:pPr>
  </w:style>
  <w:style w:type="paragraph" w:styleId="ListNumber">
    <w:name w:val="List Number"/>
    <w:basedOn w:val="Normal"/>
    <w:uiPriority w:val="99"/>
    <w:semiHidden/>
    <w:unhideWhenUsed/>
    <w:rsid w:val="009672E6"/>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uiPriority w:val="21"/>
    <w:rsid w:val="00416AA0"/>
    <w:rPr>
      <w:b/>
      <w:bCs/>
      <w:i/>
      <w:iCs/>
      <w:color w:val="auto"/>
    </w:rPr>
  </w:style>
  <w:style w:type="paragraph" w:styleId="IntenseQuote">
    <w:name w:val="Intense Quote"/>
    <w:basedOn w:val="Normal"/>
    <w:next w:val="Normal"/>
    <w:link w:val="IntenseQuoteChar"/>
    <w:uiPriority w:val="30"/>
    <w:rsid w:val="001C2F45"/>
    <w:pPr>
      <w:pBdr>
        <w:bottom w:val="single" w:sz="4" w:space="4" w:color="4F81BD"/>
      </w:pBdr>
      <w:spacing w:before="200" w:after="280"/>
      <w:ind w:left="936" w:right="936"/>
    </w:pPr>
    <w:rPr>
      <w:rFonts w:cs="Times New Roman"/>
      <w:b/>
      <w:bCs/>
      <w:i/>
      <w:iCs/>
      <w:szCs w:val="20"/>
      <w:lang w:val="x-none" w:eastAsia="x-none"/>
    </w:rPr>
  </w:style>
  <w:style w:type="character" w:customStyle="1" w:styleId="IntenseQuoteChar">
    <w:name w:val="Intense Quote Char"/>
    <w:link w:val="IntenseQuote"/>
    <w:uiPriority w:val="30"/>
    <w:rsid w:val="001C2F45"/>
    <w:rPr>
      <w:rFonts w:ascii="Arial" w:hAnsi="Arial" w:cs="Arial"/>
      <w:b/>
      <w:bCs/>
      <w:i/>
      <w:iCs/>
      <w:sz w:val="24"/>
    </w:rPr>
  </w:style>
  <w:style w:type="character" w:styleId="SubtleReference">
    <w:name w:val="Subtle Reference"/>
    <w:uiPriority w:val="31"/>
    <w:rsid w:val="00B7564E"/>
    <w:rPr>
      <w:smallCaps/>
      <w:color w:val="auto"/>
      <w:u w:val="single"/>
    </w:rPr>
  </w:style>
  <w:style w:type="character" w:customStyle="1" w:styleId="Heading7Char">
    <w:name w:val="Heading 7 Char"/>
    <w:link w:val="Heading7"/>
    <w:uiPriority w:val="9"/>
    <w:rsid w:val="006F163E"/>
    <w:rPr>
      <w:rFonts w:eastAsia="SimSun" w:cs="Times New Roman"/>
      <w:b/>
      <w:i/>
      <w:iCs/>
      <w:lang w:val="x-none" w:eastAsia="x-none"/>
    </w:rPr>
  </w:style>
  <w:style w:type="character" w:customStyle="1" w:styleId="Heading8Char">
    <w:name w:val="Heading 8 Char"/>
    <w:link w:val="Heading8"/>
    <w:uiPriority w:val="9"/>
    <w:rsid w:val="006F163E"/>
    <w:rPr>
      <w:rFonts w:eastAsia="SimSun" w:cs="Times New Roman"/>
      <w:lang w:val="x-none" w:eastAsia="x-none"/>
    </w:rPr>
  </w:style>
  <w:style w:type="character" w:customStyle="1" w:styleId="Heading9Char">
    <w:name w:val="Heading 9 Char"/>
    <w:link w:val="Heading9"/>
    <w:uiPriority w:val="9"/>
    <w:rsid w:val="006F163E"/>
    <w:rPr>
      <w:rFonts w:eastAsia="SimSun" w:cs="Times New Roman"/>
      <w:i/>
      <w:iCs/>
      <w:lang w:val="x-none" w:eastAsia="x-none"/>
    </w:rPr>
  </w:style>
  <w:style w:type="character" w:styleId="IntenseReference">
    <w:name w:val="Intense Reference"/>
    <w:uiPriority w:val="32"/>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SimSun"/>
      <w:i/>
      <w:iCs/>
    </w:rPr>
  </w:style>
  <w:style w:type="character" w:styleId="PlaceholderText">
    <w:name w:val="Placeholder Text"/>
    <w:uiPriority w:val="99"/>
    <w:semiHidden/>
    <w:rsid w:val="00AD3173"/>
    <w:rPr>
      <w:color w:val="auto"/>
    </w:rPr>
  </w:style>
  <w:style w:type="paragraph" w:styleId="TOAHeading">
    <w:name w:val="toa heading"/>
    <w:basedOn w:val="Normal"/>
    <w:next w:val="Normal"/>
    <w:uiPriority w:val="99"/>
    <w:semiHidden/>
    <w:unhideWhenUsed/>
    <w:rsid w:val="00BF7C01"/>
    <w:rPr>
      <w:rFonts w:eastAsia="SimSun" w:cs="Times New Roman"/>
      <w:b/>
      <w:bCs/>
      <w:sz w:val="28"/>
    </w:rPr>
  </w:style>
  <w:style w:type="paragraph" w:styleId="PlainText">
    <w:name w:val="Plain Text"/>
    <w:basedOn w:val="Normal"/>
    <w:link w:val="PlainTextChar"/>
    <w:uiPriority w:val="99"/>
    <w:semiHidden/>
    <w:unhideWhenUsed/>
    <w:rsid w:val="00330467"/>
    <w:rPr>
      <w:rFonts w:ascii="Consolas" w:hAnsi="Consolas" w:cs="Times New Roman"/>
      <w:sz w:val="20"/>
      <w:szCs w:val="21"/>
      <w:lang w:val="x-none" w:eastAsia="x-none"/>
    </w:rPr>
  </w:style>
  <w:style w:type="character" w:customStyle="1" w:styleId="PlainTextChar">
    <w:name w:val="Plain Text Char"/>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rPr>
      <w:rFonts w:cs="Times New Roman"/>
      <w:sz w:val="20"/>
      <w:szCs w:val="16"/>
      <w:lang w:val="x-none" w:eastAsia="x-none"/>
    </w:rPr>
  </w:style>
  <w:style w:type="character" w:customStyle="1" w:styleId="BodyText3Char">
    <w:name w:val="Body Text 3 Char"/>
    <w:link w:val="BodyText3"/>
    <w:uiPriority w:val="99"/>
    <w:semiHidden/>
    <w:rsid w:val="00890E90"/>
    <w:rPr>
      <w:sz w:val="20"/>
      <w:szCs w:val="16"/>
    </w:rPr>
  </w:style>
  <w:style w:type="paragraph" w:styleId="BodyText">
    <w:name w:val="Body Text"/>
    <w:basedOn w:val="Normal"/>
    <w:link w:val="BodyTextChar"/>
    <w:uiPriority w:val="99"/>
    <w:unhideWhenUsed/>
    <w:rsid w:val="00890E90"/>
  </w:style>
  <w:style w:type="character" w:customStyle="1" w:styleId="BodyTextChar">
    <w:name w:val="Body Text Char"/>
    <w:basedOn w:val="DefaultParagraphFont"/>
    <w:link w:val="BodyText"/>
    <w:uiPriority w:val="99"/>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ind w:left="283"/>
    </w:pPr>
    <w:rPr>
      <w:rFonts w:cs="Times New Roman"/>
      <w:sz w:val="20"/>
      <w:szCs w:val="16"/>
      <w:lang w:val="x-none" w:eastAsia="x-none"/>
    </w:rPr>
  </w:style>
  <w:style w:type="character" w:customStyle="1" w:styleId="BodyTextIndent3Char">
    <w:name w:val="Body Text Indent 3 Char"/>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cs="Times New Roman"/>
      <w:sz w:val="20"/>
      <w:szCs w:val="16"/>
      <w:lang w:val="x-none" w:eastAsia="x-none"/>
    </w:rPr>
  </w:style>
  <w:style w:type="character" w:customStyle="1" w:styleId="DocumentMapChar">
    <w:name w:val="Document Map Char"/>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rFonts w:cs="Times New Roman"/>
      <w:sz w:val="20"/>
      <w:szCs w:val="20"/>
      <w:lang w:val="x-none" w:eastAsia="x-none"/>
    </w:rPr>
  </w:style>
  <w:style w:type="character" w:customStyle="1" w:styleId="EndnoteTextChar">
    <w:name w:val="Endnote Text Char"/>
    <w:link w:val="EndnoteText"/>
    <w:uiPriority w:val="99"/>
    <w:rsid w:val="00B3772F"/>
    <w:rPr>
      <w:szCs w:val="20"/>
    </w:rPr>
  </w:style>
  <w:style w:type="character" w:styleId="Emphasis">
    <w:name w:val="Emphasis"/>
    <w:uiPriority w:val="20"/>
    <w:qFormat/>
    <w:rsid w:val="00B3772F"/>
    <w:rPr>
      <w:i/>
      <w:iCs/>
    </w:rPr>
  </w:style>
  <w:style w:type="paragraph" w:styleId="EnvelopeReturn">
    <w:name w:val="envelope return"/>
    <w:basedOn w:val="Normal"/>
    <w:uiPriority w:val="99"/>
    <w:semiHidden/>
    <w:unhideWhenUsed/>
    <w:rsid w:val="00B3772F"/>
    <w:rPr>
      <w:rFonts w:eastAsia="SimSun" w:cs="Times New Roman"/>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eastAsia="SimSun" w:cs="Times New Roman"/>
      <w:sz w:val="20"/>
      <w:szCs w:val="20"/>
      <w:lang w:val="x-none" w:eastAsia="x-none"/>
    </w:rPr>
  </w:style>
  <w:style w:type="character" w:customStyle="1" w:styleId="MessageHeaderChar">
    <w:name w:val="Message Header Char"/>
    <w:link w:val="MessageHeader"/>
    <w:uiPriority w:val="99"/>
    <w:semiHidden/>
    <w:rsid w:val="003400F1"/>
    <w:rPr>
      <w:rFonts w:eastAsia="SimSun" w:cs="Times New Roman"/>
      <w:shd w:val="pct20" w:color="auto" w:fill="auto"/>
    </w:rPr>
  </w:style>
  <w:style w:type="paragraph" w:styleId="NoSpacing">
    <w:name w:val="No Spacing"/>
    <w:uiPriority w:val="1"/>
    <w:qFormat/>
    <w:rsid w:val="003400F1"/>
    <w:rPr>
      <w:sz w:val="24"/>
      <w:szCs w:val="24"/>
      <w:lang w:val="en-GB" w:eastAsia="en-US"/>
    </w:rPr>
  </w:style>
  <w:style w:type="paragraph" w:styleId="NormalWeb">
    <w:name w:val="Normal (Web)"/>
    <w:basedOn w:val="Normal"/>
    <w:unhideWhenUsed/>
    <w:rsid w:val="00930117"/>
    <w:rPr>
      <w:rFonts w:cs="Times New Roman"/>
    </w:rPr>
  </w:style>
  <w:style w:type="paragraph" w:styleId="Index1">
    <w:name w:val="index 1"/>
    <w:basedOn w:val="Normal"/>
    <w:next w:val="Normal"/>
    <w:autoRedefine/>
    <w:uiPriority w:val="99"/>
    <w:semiHidden/>
    <w:unhideWhenUsed/>
    <w:rsid w:val="00873D7B"/>
    <w:pPr>
      <w:ind w:left="240" w:hanging="240"/>
    </w:pPr>
  </w:style>
  <w:style w:type="paragraph" w:styleId="IndexHeading">
    <w:name w:val="index heading"/>
    <w:basedOn w:val="Normal"/>
    <w:next w:val="Index1"/>
    <w:uiPriority w:val="99"/>
    <w:semiHidden/>
    <w:unhideWhenUsed/>
    <w:rsid w:val="00873D7B"/>
    <w:rPr>
      <w:rFonts w:eastAsia="SimSun" w:cs="Times New Roman"/>
      <w:b/>
      <w:bCs/>
    </w:rPr>
  </w:style>
  <w:style w:type="paragraph" w:styleId="Header">
    <w:name w:val="header"/>
    <w:basedOn w:val="Normal"/>
    <w:link w:val="HeaderChar"/>
    <w:uiPriority w:val="99"/>
    <w:unhideWhenUsed/>
    <w:rsid w:val="00346FC5"/>
    <w:pPr>
      <w:tabs>
        <w:tab w:val="center" w:pos="4513"/>
        <w:tab w:val="right" w:pos="9026"/>
      </w:tabs>
    </w:pPr>
  </w:style>
  <w:style w:type="character" w:customStyle="1" w:styleId="HeaderChar">
    <w:name w:val="Header Char"/>
    <w:basedOn w:val="DefaultParagraphFont"/>
    <w:link w:val="Header"/>
    <w:uiPriority w:val="99"/>
    <w:rsid w:val="00346FC5"/>
  </w:style>
  <w:style w:type="paragraph" w:styleId="Footer">
    <w:name w:val="footer"/>
    <w:basedOn w:val="Normal"/>
    <w:link w:val="FooterChar"/>
    <w:uiPriority w:val="99"/>
    <w:unhideWhenUsed/>
    <w:rsid w:val="00346FC5"/>
    <w:pPr>
      <w:tabs>
        <w:tab w:val="center" w:pos="4513"/>
        <w:tab w:val="right" w:pos="9026"/>
      </w:tabs>
    </w:pPr>
  </w:style>
  <w:style w:type="character" w:customStyle="1" w:styleId="FooterChar">
    <w:name w:val="Footer Char"/>
    <w:basedOn w:val="DefaultParagraphFont"/>
    <w:link w:val="Footer"/>
    <w:uiPriority w:val="99"/>
    <w:rsid w:val="00346FC5"/>
  </w:style>
  <w:style w:type="table" w:styleId="TableGrid">
    <w:name w:val="Table Grid"/>
    <w:basedOn w:val="TableNormal"/>
    <w:uiPriority w:val="59"/>
    <w:rsid w:val="00346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6FC5"/>
    <w:rPr>
      <w:rFonts w:ascii="Tahoma" w:hAnsi="Tahoma" w:cs="Times New Roman"/>
      <w:sz w:val="16"/>
      <w:szCs w:val="16"/>
      <w:lang w:val="x-none" w:eastAsia="x-none"/>
    </w:rPr>
  </w:style>
  <w:style w:type="character" w:customStyle="1" w:styleId="BalloonTextChar">
    <w:name w:val="Balloon Text Char"/>
    <w:link w:val="BalloonText"/>
    <w:uiPriority w:val="99"/>
    <w:semiHidden/>
    <w:rsid w:val="00346FC5"/>
    <w:rPr>
      <w:rFonts w:ascii="Tahoma" w:hAnsi="Tahoma" w:cs="Tahoma"/>
      <w:sz w:val="16"/>
      <w:szCs w:val="16"/>
    </w:rPr>
  </w:style>
  <w:style w:type="character" w:styleId="CommentReference">
    <w:name w:val="annotation reference"/>
    <w:uiPriority w:val="99"/>
    <w:semiHidden/>
    <w:unhideWhenUsed/>
    <w:rsid w:val="00915E6B"/>
    <w:rPr>
      <w:sz w:val="16"/>
      <w:szCs w:val="16"/>
    </w:rPr>
  </w:style>
  <w:style w:type="paragraph" w:styleId="CommentText">
    <w:name w:val="annotation text"/>
    <w:basedOn w:val="Normal"/>
    <w:link w:val="CommentTextChar"/>
    <w:uiPriority w:val="99"/>
    <w:unhideWhenUsed/>
    <w:rsid w:val="00915E6B"/>
    <w:rPr>
      <w:rFonts w:cs="Times New Roman"/>
      <w:sz w:val="20"/>
      <w:szCs w:val="20"/>
      <w:lang w:val="x-none" w:eastAsia="x-none"/>
    </w:rPr>
  </w:style>
  <w:style w:type="character" w:customStyle="1" w:styleId="CommentTextChar">
    <w:name w:val="Comment Text Char"/>
    <w:link w:val="CommentText"/>
    <w:uiPriority w:val="99"/>
    <w:rsid w:val="00915E6B"/>
    <w:rPr>
      <w:sz w:val="20"/>
      <w:szCs w:val="20"/>
    </w:rPr>
  </w:style>
  <w:style w:type="paragraph" w:styleId="CommentSubject">
    <w:name w:val="annotation subject"/>
    <w:basedOn w:val="CommentText"/>
    <w:next w:val="CommentText"/>
    <w:link w:val="CommentSubjectChar"/>
    <w:uiPriority w:val="99"/>
    <w:semiHidden/>
    <w:unhideWhenUsed/>
    <w:rsid w:val="00915E6B"/>
    <w:rPr>
      <w:b/>
      <w:bCs/>
    </w:rPr>
  </w:style>
  <w:style w:type="character" w:customStyle="1" w:styleId="CommentSubjectChar">
    <w:name w:val="Comment Subject Char"/>
    <w:link w:val="CommentSubject"/>
    <w:uiPriority w:val="99"/>
    <w:semiHidden/>
    <w:rsid w:val="00915E6B"/>
    <w:rPr>
      <w:b/>
      <w:bCs/>
      <w:sz w:val="20"/>
      <w:szCs w:val="20"/>
    </w:rPr>
  </w:style>
  <w:style w:type="character" w:styleId="Hyperlink">
    <w:name w:val="Hyperlink"/>
    <w:uiPriority w:val="99"/>
    <w:unhideWhenUsed/>
    <w:rsid w:val="0013277C"/>
    <w:rPr>
      <w:color w:val="0000FF"/>
      <w:u w:val="single"/>
    </w:rPr>
  </w:style>
  <w:style w:type="paragraph" w:styleId="FootnoteText">
    <w:name w:val="footnote text"/>
    <w:basedOn w:val="Normal"/>
    <w:link w:val="FootnoteTextChar"/>
    <w:uiPriority w:val="99"/>
    <w:unhideWhenUsed/>
    <w:rsid w:val="0013277C"/>
    <w:rPr>
      <w:rFonts w:cs="Times New Roman"/>
      <w:sz w:val="20"/>
      <w:szCs w:val="20"/>
      <w:lang w:val="x-none" w:eastAsia="x-none"/>
    </w:rPr>
  </w:style>
  <w:style w:type="character" w:customStyle="1" w:styleId="FootnoteTextChar">
    <w:name w:val="Footnote Text Char"/>
    <w:link w:val="FootnoteText"/>
    <w:uiPriority w:val="99"/>
    <w:rsid w:val="0013277C"/>
    <w:rPr>
      <w:sz w:val="20"/>
      <w:szCs w:val="20"/>
    </w:rPr>
  </w:style>
  <w:style w:type="character" w:styleId="FootnoteReference">
    <w:name w:val="footnote reference"/>
    <w:aliases w:val="Fn Ref"/>
    <w:uiPriority w:val="99"/>
    <w:unhideWhenUsed/>
    <w:qFormat/>
    <w:rsid w:val="009672E6"/>
    <w:rPr>
      <w:vertAlign w:val="superscript"/>
    </w:rPr>
  </w:style>
  <w:style w:type="numbering" w:customStyle="1" w:styleId="Style1">
    <w:name w:val="Style1"/>
    <w:uiPriority w:val="99"/>
    <w:rsid w:val="00365193"/>
    <w:pPr>
      <w:numPr>
        <w:numId w:val="3"/>
      </w:numPr>
    </w:pPr>
  </w:style>
  <w:style w:type="character" w:styleId="FollowedHyperlink">
    <w:name w:val="FollowedHyperlink"/>
    <w:uiPriority w:val="99"/>
    <w:semiHidden/>
    <w:unhideWhenUsed/>
    <w:rsid w:val="000336BD"/>
    <w:rPr>
      <w:color w:val="800080"/>
      <w:u w:val="single"/>
    </w:rPr>
  </w:style>
  <w:style w:type="character" w:styleId="EndnoteReference">
    <w:name w:val="endnote reference"/>
    <w:uiPriority w:val="99"/>
    <w:semiHidden/>
    <w:unhideWhenUsed/>
    <w:rsid w:val="00DC521C"/>
    <w:rPr>
      <w:vertAlign w:val="superscript"/>
    </w:rPr>
  </w:style>
  <w:style w:type="paragraph" w:styleId="Revision">
    <w:name w:val="Revision"/>
    <w:hidden/>
    <w:uiPriority w:val="99"/>
    <w:semiHidden/>
    <w:rsid w:val="00AA6745"/>
    <w:rPr>
      <w:sz w:val="24"/>
      <w:szCs w:val="24"/>
      <w:lang w:val="en-GB" w:eastAsia="en-US"/>
    </w:rPr>
  </w:style>
  <w:style w:type="paragraph" w:styleId="TOC1">
    <w:name w:val="toc 1"/>
    <w:basedOn w:val="Normal"/>
    <w:next w:val="Normal"/>
    <w:autoRedefine/>
    <w:uiPriority w:val="39"/>
    <w:unhideWhenUsed/>
    <w:rsid w:val="00DC02E6"/>
    <w:pPr>
      <w:spacing w:after="0"/>
      <w:ind w:left="567" w:hanging="567"/>
    </w:pPr>
  </w:style>
  <w:style w:type="paragraph" w:styleId="TOC2">
    <w:name w:val="toc 2"/>
    <w:basedOn w:val="Normal"/>
    <w:next w:val="Normal"/>
    <w:autoRedefine/>
    <w:uiPriority w:val="39"/>
    <w:unhideWhenUsed/>
    <w:rsid w:val="00DC02E6"/>
    <w:pPr>
      <w:spacing w:after="0"/>
      <w:ind w:left="1134" w:hanging="567"/>
    </w:pPr>
  </w:style>
  <w:style w:type="paragraph" w:styleId="TOC3">
    <w:name w:val="toc 3"/>
    <w:basedOn w:val="Normal"/>
    <w:next w:val="Normal"/>
    <w:autoRedefine/>
    <w:uiPriority w:val="39"/>
    <w:unhideWhenUsed/>
    <w:rsid w:val="00DC02E6"/>
    <w:pPr>
      <w:spacing w:after="0"/>
      <w:ind w:left="1985" w:hanging="851"/>
    </w:pPr>
  </w:style>
  <w:style w:type="paragraph" w:customStyle="1" w:styleId="Un-numberedsubheading">
    <w:name w:val="Un-numbered subheading"/>
    <w:basedOn w:val="BodyText"/>
    <w:link w:val="Un-numberedsubheadingChar"/>
    <w:qFormat/>
    <w:rsid w:val="00FF0B66"/>
    <w:rPr>
      <w:rFonts w:cs="Times New Roman"/>
      <w:b/>
      <w:sz w:val="20"/>
      <w:szCs w:val="20"/>
      <w:lang w:val="x-none" w:eastAsia="x-none"/>
    </w:rPr>
  </w:style>
  <w:style w:type="paragraph" w:customStyle="1" w:styleId="Sourcereference">
    <w:name w:val="Source reference"/>
    <w:basedOn w:val="Normal"/>
    <w:link w:val="SourcereferenceChar"/>
    <w:qFormat/>
    <w:rsid w:val="00EF3CB6"/>
    <w:rPr>
      <w:rFonts w:cs="Times New Roman"/>
      <w:i/>
      <w:sz w:val="20"/>
      <w:szCs w:val="20"/>
      <w:lang w:val="x-none" w:eastAsia="x-none"/>
    </w:rPr>
  </w:style>
  <w:style w:type="character" w:customStyle="1" w:styleId="Un-numberedsubheadingChar">
    <w:name w:val="Un-numbered subheading Char"/>
    <w:link w:val="Un-numberedsubheading"/>
    <w:rsid w:val="00FF0B66"/>
    <w:rPr>
      <w:b/>
    </w:rPr>
  </w:style>
  <w:style w:type="character" w:customStyle="1" w:styleId="SourcereferenceChar">
    <w:name w:val="Source reference Char"/>
    <w:link w:val="Sourcereference"/>
    <w:rsid w:val="00EF3CB6"/>
    <w:rPr>
      <w:i/>
      <w:sz w:val="20"/>
    </w:rPr>
  </w:style>
  <w:style w:type="paragraph" w:styleId="ListParagraph">
    <w:name w:val="List Paragraph"/>
    <w:basedOn w:val="Normal"/>
    <w:uiPriority w:val="34"/>
    <w:qFormat/>
    <w:rsid w:val="00BC5855"/>
    <w:pPr>
      <w:ind w:left="720"/>
      <w:contextualSpacing/>
    </w:pPr>
  </w:style>
  <w:style w:type="character" w:customStyle="1" w:styleId="apple-converted-space">
    <w:name w:val="apple-converted-space"/>
    <w:basedOn w:val="DefaultParagraphFont"/>
    <w:rsid w:val="00A87239"/>
  </w:style>
  <w:style w:type="character" w:styleId="Strong">
    <w:name w:val="Strong"/>
    <w:uiPriority w:val="22"/>
    <w:qFormat/>
    <w:rsid w:val="00A87239"/>
    <w:rPr>
      <w:b/>
      <w:bCs/>
    </w:rPr>
  </w:style>
  <w:style w:type="paragraph" w:styleId="HTMLPreformatted">
    <w:name w:val="HTML Preformatted"/>
    <w:basedOn w:val="Normal"/>
    <w:link w:val="HTMLPreformattedChar"/>
    <w:uiPriority w:val="99"/>
    <w:unhideWhenUsed/>
    <w:rsid w:val="00045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el-GR" w:eastAsia="el-GR"/>
    </w:rPr>
  </w:style>
  <w:style w:type="character" w:customStyle="1" w:styleId="HTMLPreformattedChar">
    <w:name w:val="HTML Preformatted Char"/>
    <w:link w:val="HTMLPreformatted"/>
    <w:uiPriority w:val="99"/>
    <w:rsid w:val="00045EA8"/>
    <w:rPr>
      <w:rFonts w:ascii="Courier New" w:eastAsia="Times New Roman" w:hAnsi="Courier New" w:cs="Courier New"/>
      <w:sz w:val="20"/>
      <w:szCs w:val="20"/>
      <w:lang w:val="el-GR" w:eastAsia="el-GR"/>
    </w:rPr>
  </w:style>
  <w:style w:type="paragraph" w:customStyle="1" w:styleId="indent1">
    <w:name w:val="indent1"/>
    <w:basedOn w:val="Normal"/>
    <w:rsid w:val="00A42C0D"/>
    <w:pPr>
      <w:spacing w:before="100" w:beforeAutospacing="1" w:after="100" w:afterAutospacing="1"/>
    </w:pPr>
    <w:rPr>
      <w:rFonts w:ascii="Times New Roman" w:eastAsia="Times New Roman" w:hAnsi="Times New Roman" w:cs="Times New Roman"/>
      <w:lang w:val="el-GR" w:eastAsia="el-GR"/>
    </w:rPr>
  </w:style>
  <w:style w:type="table" w:customStyle="1" w:styleId="TableGrid1">
    <w:name w:val="Table Grid1"/>
    <w:basedOn w:val="TableNormal"/>
    <w:next w:val="TableGrid"/>
    <w:uiPriority w:val="59"/>
    <w:rsid w:val="00855CD2"/>
    <w:rPr>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5CD2"/>
    <w:rPr>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60972">
      <w:bodyDiv w:val="1"/>
      <w:marLeft w:val="0"/>
      <w:marRight w:val="0"/>
      <w:marTop w:val="0"/>
      <w:marBottom w:val="0"/>
      <w:divBdr>
        <w:top w:val="none" w:sz="0" w:space="0" w:color="auto"/>
        <w:left w:val="none" w:sz="0" w:space="0" w:color="auto"/>
        <w:bottom w:val="none" w:sz="0" w:space="0" w:color="auto"/>
        <w:right w:val="none" w:sz="0" w:space="0" w:color="auto"/>
      </w:divBdr>
    </w:div>
    <w:div w:id="284847482">
      <w:bodyDiv w:val="1"/>
      <w:marLeft w:val="0"/>
      <w:marRight w:val="0"/>
      <w:marTop w:val="0"/>
      <w:marBottom w:val="0"/>
      <w:divBdr>
        <w:top w:val="none" w:sz="0" w:space="0" w:color="auto"/>
        <w:left w:val="none" w:sz="0" w:space="0" w:color="auto"/>
        <w:bottom w:val="none" w:sz="0" w:space="0" w:color="auto"/>
        <w:right w:val="none" w:sz="0" w:space="0" w:color="auto"/>
      </w:divBdr>
    </w:div>
    <w:div w:id="1128083637">
      <w:bodyDiv w:val="1"/>
      <w:marLeft w:val="0"/>
      <w:marRight w:val="0"/>
      <w:marTop w:val="0"/>
      <w:marBottom w:val="0"/>
      <w:divBdr>
        <w:top w:val="none" w:sz="0" w:space="0" w:color="auto"/>
        <w:left w:val="none" w:sz="0" w:space="0" w:color="auto"/>
        <w:bottom w:val="none" w:sz="0" w:space="0" w:color="auto"/>
        <w:right w:val="none" w:sz="0" w:space="0" w:color="auto"/>
      </w:divBdr>
    </w:div>
    <w:div w:id="1343430329">
      <w:bodyDiv w:val="1"/>
      <w:marLeft w:val="0"/>
      <w:marRight w:val="0"/>
      <w:marTop w:val="0"/>
      <w:marBottom w:val="0"/>
      <w:divBdr>
        <w:top w:val="none" w:sz="0" w:space="0" w:color="auto"/>
        <w:left w:val="none" w:sz="0" w:space="0" w:color="auto"/>
        <w:bottom w:val="none" w:sz="0" w:space="0" w:color="auto"/>
        <w:right w:val="none" w:sz="0" w:space="0" w:color="auto"/>
      </w:divBdr>
    </w:div>
    <w:div w:id="160210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10" Type="http://schemas.openxmlformats.org/officeDocument/2006/relationships/image" Target="media/image2.jpeg"/><Relationship Id="rId19" Type="http://schemas.openxmlformats.org/officeDocument/2006/relationships/chart" Target="charts/chart8.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isability-europe.net/" TargetMode="Externa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appsso.eurostat.ec.europa.eu/nui/show.do?dataset=hlth_de010&amp;lang=en" TargetMode="External"/><Relationship Id="rId18" Type="http://schemas.openxmlformats.org/officeDocument/2006/relationships/hyperlink" Target="http://www.structuralfunds.org.cy/uploadfiles/%CE%A0%CE%B1%CF%81%CE%AC%CF%81%CF%84%CE%B7%CE%BC%CE%B1%201%20-%20%CE%94%CE%B5%CE%AF%CE%BA%CF%84%CE%B5%CF%82%20%CF%84%CE%BF%CF%85%20%CE%A0%CF%81%CE%BF%CE%B3%CF%81%CE%AC%CE%BC%CE%BC%CE%B1%CF%84%CE%BF%CF%82.pdf" TargetMode="External"/><Relationship Id="rId26" Type="http://schemas.openxmlformats.org/officeDocument/2006/relationships/hyperlink" Target="http://dl.acm.org/citation.cfm?id=2223685" TargetMode="External"/><Relationship Id="rId39" Type="http://schemas.openxmlformats.org/officeDocument/2006/relationships/hyperlink" Target="http://www.disability-europe.net/content/aned/media/ANED%202014%20-%20Task%203%20-%20CY%20-%20final.doc" TargetMode="External"/><Relationship Id="rId3" Type="http://schemas.openxmlformats.org/officeDocument/2006/relationships/hyperlink" Target="http://www.mlsi.gov.cy/mlsi/dsid/dsid.nsf/A8A5F20B4E23E622C2257A7C002CEBC5/$file/Disability%20National%20Action%20Plan%202013-2015.doc" TargetMode="External"/><Relationship Id="rId21" Type="http://schemas.openxmlformats.org/officeDocument/2006/relationships/hyperlink" Target="http://www.structuralfunds.org.cy/uploadfiles/Apasxolisi_AnthropinoiPoroi/EKTHESI_AKSIOLOGISIS_PAN_final_NEW.pdf" TargetMode="External"/><Relationship Id="rId34" Type="http://schemas.openxmlformats.org/officeDocument/2006/relationships/hyperlink" Target="http://www.cpmental.com.cy/epnka/page.php?pageID=25" TargetMode="External"/><Relationship Id="rId42" Type="http://schemas.openxmlformats.org/officeDocument/2006/relationships/hyperlink" Target="http://www.structuralfunds.org.cy/Potential-Beneficiaries" TargetMode="External"/><Relationship Id="rId47" Type="http://schemas.openxmlformats.org/officeDocument/2006/relationships/hyperlink" Target="http://www.structuralfunds.org.cy/uploadfiles/Apasxolisi_AnthropinoiPoroi/EKTHESI_AKSIOLOGISIS_PAN_final_NEW.pdf" TargetMode="External"/><Relationship Id="rId50" Type="http://schemas.openxmlformats.org/officeDocument/2006/relationships/hyperlink" Target="http://www.moec.gov.cy/anakoinoseis/2014/pdf/2014_06_12_ekthesi_pagkosmias_trapezas_politikes_ekpaideftikon.pdf" TargetMode="External"/><Relationship Id="rId7" Type="http://schemas.openxmlformats.org/officeDocument/2006/relationships/hyperlink" Target="http://epp.eurostat.ec.europa.eu/statistics_explained/index.php/Glossary:Minimum_European_Health_Module_(MEHM)" TargetMode="External"/><Relationship Id="rId12" Type="http://schemas.openxmlformats.org/officeDocument/2006/relationships/hyperlink" Target="http://www.mlsi.gov.cy/mlsi/dsid/dsid.nsf/58874A266C472D68C2257A7C002D2E19/$file/executive%20summary%20annual%20report%20DSID%202014.doc" TargetMode="External"/><Relationship Id="rId17" Type="http://schemas.openxmlformats.org/officeDocument/2006/relationships/hyperlink" Target="http://www.structuralfunds.org.cy/uploadfiles/%CE%95%CF%84%CE%AE%CF%83%CE%B9%CE%B1%20%CE%88%CE%BA%CE%B8%CE%B5%CF%83%CE%B7%20%CE%A5%CE%BB%CE%BF%CF%80%CE%BF%CE%AF%CE%B7%CF%83%CE%B7%CF%82%202015%20--%20submitted.pdf" TargetMode="External"/><Relationship Id="rId25" Type="http://schemas.openxmlformats.org/officeDocument/2006/relationships/hyperlink" Target="http://www.entelis.net/en/node/237" TargetMode="External"/><Relationship Id="rId33" Type="http://schemas.openxmlformats.org/officeDocument/2006/relationships/hyperlink" Target="http://www.moec.gov.cy/agogi_ygeias/omada_amesis_paremvasis_paravatikotita.html" TargetMode="External"/><Relationship Id="rId38" Type="http://schemas.openxmlformats.org/officeDocument/2006/relationships/hyperlink" Target="http://mazi4autism.com/index.php/en/" TargetMode="External"/><Relationship Id="rId46" Type="http://schemas.openxmlformats.org/officeDocument/2006/relationships/hyperlink" Target="http://www.structuralfunds.org.cy/uploadfiles/News/EVALUATION-PLAN-FINAL-DECEMBER-2015.docx" TargetMode="External"/><Relationship Id="rId2" Type="http://schemas.openxmlformats.org/officeDocument/2006/relationships/hyperlink" Target="http://ec.europa.eu/europe2020/pdf/targets_en.pdf" TargetMode="External"/><Relationship Id="rId16" Type="http://schemas.openxmlformats.org/officeDocument/2006/relationships/hyperlink" Target="http://www.structuralfunds.org.cy/Potential-Beneficiaries" TargetMode="External"/><Relationship Id="rId20" Type="http://schemas.openxmlformats.org/officeDocument/2006/relationships/hyperlink" Target="http://www.structuralfunds.org.cy/uploadfiles/News/EVALUATION-PLAN-FINAL-DECEMBER-2015.docx" TargetMode="External"/><Relationship Id="rId29" Type="http://schemas.openxmlformats.org/officeDocument/2006/relationships/hyperlink" Target="http://www.cylaw.org/cgi-bin/open.pl?file=nomoi/enop/ind/2009_1_146/preamble-pr5e5a5a44-4dbb-cd45-1dc3-7d194767d5c2.html&amp;qstring=%E1%ED%E1%F0%E7*" TargetMode="External"/><Relationship Id="rId41" Type="http://schemas.openxmlformats.org/officeDocument/2006/relationships/hyperlink" Target="http://www.structuralfunds.org.cy/uploadfiles/CY_PA_rev11Aug2014-SFC.pdf" TargetMode="External"/><Relationship Id="rId1" Type="http://schemas.openxmlformats.org/officeDocument/2006/relationships/hyperlink" Target="http://www.ombudsman.gov.cy/ombudsman/ombudsman.nsf/index_en/index_en?opendocument" TargetMode="External"/><Relationship Id="rId6" Type="http://schemas.openxmlformats.org/officeDocument/2006/relationships/hyperlink" Target="http://ec.europa.eu/europe2020/pdf/csr2016/cr2016_cyprus_en.pdf" TargetMode="External"/><Relationship Id="rId11" Type="http://schemas.openxmlformats.org/officeDocument/2006/relationships/hyperlink" Target="http://www.mlsi.gov.cy/mlsi/dsid/dsid.nsf/dsipd29_en/dsipd29_en?OpenDocument" TargetMode="External"/><Relationship Id="rId24" Type="http://schemas.openxmlformats.org/officeDocument/2006/relationships/hyperlink" Target="http://www.ncbi.nlm.nih.gov/pubmed/26294546" TargetMode="External"/><Relationship Id="rId32" Type="http://schemas.openxmlformats.org/officeDocument/2006/relationships/hyperlink" Target="http://www.moec.gov.cy/eidiki_ekpaidefsi/nomothesia/peri_mihanismou_kanonismoi_2001_185_2001.pdf" TargetMode="External"/><Relationship Id="rId37" Type="http://schemas.openxmlformats.org/officeDocument/2006/relationships/hyperlink" Target="http://www.mlsi.gov.cy/mlsi/dsid/dsid.nsf/A8A5F20B4E23E622C2257A7C002CEBC5/$file/FINAL%20First%20CY%20Report%20on%20the%20UNCRPD.doc" TargetMode="External"/><Relationship Id="rId40" Type="http://schemas.openxmlformats.org/officeDocument/2006/relationships/hyperlink" Target="http://www.disability-europe.net/content/aned/media/ANED%202014%20-%20Task%204%20-%20CY%20-%20final.doc" TargetMode="External"/><Relationship Id="rId45" Type="http://schemas.openxmlformats.org/officeDocument/2006/relationships/hyperlink" Target="http://www.structuralfunds.org.cy/uploadfiles/News/EVALUATION-PLAN-FINAL-DECEMBER-2015.docx" TargetMode="External"/><Relationship Id="rId5" Type="http://schemas.openxmlformats.org/officeDocument/2006/relationships/hyperlink" Target="http://ec.europa.eu/europe2020/pdf/csr2016/sp2016_cyprus_en.pdf" TargetMode="External"/><Relationship Id="rId15" Type="http://schemas.openxmlformats.org/officeDocument/2006/relationships/hyperlink" Target="http://www.structuralfunds.org.cy/uploadfiles/CY_PA_rev11Aug2014-SFC.pdf" TargetMode="External"/><Relationship Id="rId23" Type="http://schemas.openxmlformats.org/officeDocument/2006/relationships/hyperlink" Target="http://www.mlsi.gov.cy/mlsi/dsid/dsid.nsf/dsipd06_en/dsipd06_en?OpenDocument" TargetMode="External"/><Relationship Id="rId28" Type="http://schemas.openxmlformats.org/officeDocument/2006/relationships/hyperlink" Target="http://www.mlsi.gov.cy/mlsi/mlsi.nsf/All/22B31A2F4190919FC2257C9E003052CA/$file/YEKA_2012_updated.pdf" TargetMode="External"/><Relationship Id="rId36" Type="http://schemas.openxmlformats.org/officeDocument/2006/relationships/hyperlink" Target="http://ec.europa.eu/europe2020/pdf/csr2016/cr2016_cyprus_en.pdf" TargetMode="External"/><Relationship Id="rId49" Type="http://schemas.openxmlformats.org/officeDocument/2006/relationships/hyperlink" Target="http://www.philenews.com/el-gr/eidiseis-media/893/248681/anapiro-to-ktirio-tou-rik" TargetMode="External"/><Relationship Id="rId10" Type="http://schemas.openxmlformats.org/officeDocument/2006/relationships/hyperlink" Target="http://www.mlsi.gov.cy/mlsi/dsid/dsid.nsf/58874A266C472D68C2257A7C002D2E19/$file/Annual%20Report%20DSID%202012.docx" TargetMode="External"/><Relationship Id="rId19" Type="http://schemas.openxmlformats.org/officeDocument/2006/relationships/hyperlink" Target="http://www.structuralfunds.org.cy/uploadfiles/News/EVALUATION-PLAN-FINAL-DECEMBER-2015.docx" TargetMode="External"/><Relationship Id="rId31" Type="http://schemas.openxmlformats.org/officeDocument/2006/relationships/hyperlink" Target="http://www.cylaw.org/nomoi/indexes/2000_1_127.html" TargetMode="External"/><Relationship Id="rId44" Type="http://schemas.openxmlformats.org/officeDocument/2006/relationships/hyperlink" Target="http://www.structuralfunds.org.cy/uploadfiles/%CE%A0%CE%B1%CF%81%CE%AC%CF%81%CF%84%CE%B7%CE%BC%CE%B1%201%20-%20%CE%94%CE%B5%CE%AF%CE%BA%CF%84%CE%B5%CF%82%20%CF%84%CE%BF%CF%85%20%CE%A0%CF%81%CE%BF%CE%B3%CF%81%CE%AC%CE%BC%CE%BC%CE%B1%CF%84%CE%BF%CF%82.pdf" TargetMode="External"/><Relationship Id="rId4" Type="http://schemas.openxmlformats.org/officeDocument/2006/relationships/hyperlink" Target="http://ec.europa.eu/europe2020/pdf/csr2016/nrp2016_cyprus_en.pdf" TargetMode="External"/><Relationship Id="rId9" Type="http://schemas.openxmlformats.org/officeDocument/2006/relationships/hyperlink" Target="http://www.mlsi.gov.cy/mlsi/dsid/dsid.nsf/dsipd29_en/dsipd29_en?OpenDocument" TargetMode="External"/><Relationship Id="rId14" Type="http://schemas.openxmlformats.org/officeDocument/2006/relationships/hyperlink" Target="http://appsso.eurostat.ec.europa.eu/nui/show.do?dataset=hlth_de020&amp;lang=en" TargetMode="External"/><Relationship Id="rId22" Type="http://schemas.openxmlformats.org/officeDocument/2006/relationships/hyperlink" Target="http://www.mof.gov.cy/mof/mof.nsf/page18_gr/page18_gr?OpenDocument" TargetMode="External"/><Relationship Id="rId27" Type="http://schemas.openxmlformats.org/officeDocument/2006/relationships/hyperlink" Target="http://www.ombudsman.gov.cy/ombudsman/ombudsman.nsf/page09_en/page09_en?OpenDocument" TargetMode="External"/><Relationship Id="rId30" Type="http://schemas.openxmlformats.org/officeDocument/2006/relationships/hyperlink" Target="http://www.mlsi.gov.cy/mlsi/dsid/dsid.nsf/32BF365375E1D346C2257A7C002D2F7D/$file/%CE%95%CF%84%CE%AE%CF%83%CE%B9%CE%B1%20%CE%88%CE%BA%CE%B8%CE%B5%CF%83%CE%B7%20%CE%A4%CE%9A%CE%95%CE%91%CE%91%202014.pdf" TargetMode="External"/><Relationship Id="rId35" Type="http://schemas.openxmlformats.org/officeDocument/2006/relationships/hyperlink" Target="http://www.mlsi.gov.cy/mlsi/dsid/dsid.nsf/dsipd08_en/dsipd08_en?OpenDocument" TargetMode="External"/><Relationship Id="rId43" Type="http://schemas.openxmlformats.org/officeDocument/2006/relationships/hyperlink" Target="http://www.structuralfunds.org.cy/uploadfiles/%CE%95%CF%84%CE%AE%CF%83%CE%B9%CE%B1%20%CE%88%CE%BA%CE%B8%CE%B5%CF%83%CE%B7%20%CE%A5%CE%BB%CE%BF%CF%80%CE%BF%CE%AF%CE%B7%CF%83%CE%B7%CF%82%202015%20--%20submitted.pdf" TargetMode="External"/><Relationship Id="rId48" Type="http://schemas.openxmlformats.org/officeDocument/2006/relationships/hyperlink" Target="http://www.ombudsman.gov.cy/ombudsman/ombudsman.nsf/index_en/index_en?opendocument" TargetMode="External"/><Relationship Id="rId8" Type="http://schemas.openxmlformats.org/officeDocument/2006/relationships/hyperlink" Target="http://www.disability-europe.net/theme/statistical-indicato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en-GB" sz="1600"/>
              <a:t>Prevalence of self-reported 'activity limitation'</a:t>
            </a:r>
          </a:p>
        </c:rich>
      </c:tx>
      <c:overlay val="0"/>
    </c:title>
    <c:autoTitleDeleted val="0"/>
    <c:plotArea>
      <c:layout/>
      <c:barChart>
        <c:barDir val="bar"/>
        <c:grouping val="clustered"/>
        <c:varyColors val="0"/>
        <c:ser>
          <c:idx val="0"/>
          <c:order val="0"/>
          <c:tx>
            <c:strRef>
              <c:f>Sheet1!$B$1</c:f>
              <c:strCache>
                <c:ptCount val="1"/>
                <c:pt idx="0">
                  <c:v>EU average</c:v>
                </c:pt>
              </c:strCache>
            </c:strRef>
          </c:tx>
          <c:invertIfNegative val="0"/>
          <c:cat>
            <c:strRef>
              <c:f>Sheet1!$A$2:$A$9</c:f>
              <c:strCache>
                <c:ptCount val="8"/>
                <c:pt idx="0">
                  <c:v>Not limited</c:v>
                </c:pt>
                <c:pt idx="1">
                  <c:v>Limited to some extent</c:v>
                </c:pt>
                <c:pt idx="2">
                  <c:v>Strongly limited</c:v>
                </c:pt>
                <c:pt idx="3">
                  <c:v>All 'limited'</c:v>
                </c:pt>
                <c:pt idx="4">
                  <c:v>Women</c:v>
                </c:pt>
                <c:pt idx="5">
                  <c:v>Men</c:v>
                </c:pt>
                <c:pt idx="6">
                  <c:v>Age 16-64</c:v>
                </c:pt>
                <c:pt idx="7">
                  <c:v>Age 65+</c:v>
                </c:pt>
              </c:strCache>
            </c:strRef>
          </c:cat>
          <c:val>
            <c:numRef>
              <c:f>Sheet1!$B$2:$B$9</c:f>
              <c:numCache>
                <c:formatCode>0.0</c:formatCode>
                <c:ptCount val="8"/>
                <c:pt idx="0">
                  <c:v>72.900000000000006</c:v>
                </c:pt>
                <c:pt idx="1">
                  <c:v>27.1</c:v>
                </c:pt>
                <c:pt idx="2">
                  <c:v>8.56</c:v>
                </c:pt>
                <c:pt idx="3">
                  <c:v>18.54</c:v>
                </c:pt>
                <c:pt idx="4">
                  <c:v>29.48</c:v>
                </c:pt>
                <c:pt idx="5">
                  <c:v>24.54</c:v>
                </c:pt>
                <c:pt idx="6">
                  <c:v>19.079999999999998</c:v>
                </c:pt>
                <c:pt idx="7">
                  <c:v>54.62</c:v>
                </c:pt>
              </c:numCache>
            </c:numRef>
          </c:val>
          <c:extLst>
            <c:ext xmlns:c16="http://schemas.microsoft.com/office/drawing/2014/chart" uri="{C3380CC4-5D6E-409C-BE32-E72D297353CC}">
              <c16:uniqueId val="{00000000-A01D-4357-BC50-3D268225F2DF}"/>
            </c:ext>
          </c:extLst>
        </c:ser>
        <c:ser>
          <c:idx val="1"/>
          <c:order val="1"/>
          <c:tx>
            <c:strRef>
              <c:f>Sheet1!$C$1</c:f>
              <c:strCache>
                <c:ptCount val="1"/>
                <c:pt idx="0">
                  <c:v>National average</c:v>
                </c:pt>
              </c:strCache>
            </c:strRef>
          </c:tx>
          <c:invertIfNegative val="0"/>
          <c:cat>
            <c:strRef>
              <c:f>Sheet1!$A$2:$A$9</c:f>
              <c:strCache>
                <c:ptCount val="8"/>
                <c:pt idx="0">
                  <c:v>Not limited</c:v>
                </c:pt>
                <c:pt idx="1">
                  <c:v>Limited to some extent</c:v>
                </c:pt>
                <c:pt idx="2">
                  <c:v>Strongly limited</c:v>
                </c:pt>
                <c:pt idx="3">
                  <c:v>All 'limited'</c:v>
                </c:pt>
                <c:pt idx="4">
                  <c:v>Women</c:v>
                </c:pt>
                <c:pt idx="5">
                  <c:v>Men</c:v>
                </c:pt>
                <c:pt idx="6">
                  <c:v>Age 16-64</c:v>
                </c:pt>
                <c:pt idx="7">
                  <c:v>Age 65+</c:v>
                </c:pt>
              </c:strCache>
            </c:strRef>
          </c:cat>
          <c:val>
            <c:numRef>
              <c:f>Sheet1!$C$2:$C$9</c:f>
              <c:numCache>
                <c:formatCode>0.0</c:formatCode>
                <c:ptCount val="8"/>
                <c:pt idx="0">
                  <c:v>81.7</c:v>
                </c:pt>
                <c:pt idx="1">
                  <c:v>18.3</c:v>
                </c:pt>
                <c:pt idx="2">
                  <c:v>7.27</c:v>
                </c:pt>
                <c:pt idx="3">
                  <c:v>11.03</c:v>
                </c:pt>
                <c:pt idx="4">
                  <c:v>18.87</c:v>
                </c:pt>
                <c:pt idx="5">
                  <c:v>17.68</c:v>
                </c:pt>
                <c:pt idx="6">
                  <c:v>12.47</c:v>
                </c:pt>
                <c:pt idx="7">
                  <c:v>49.5</c:v>
                </c:pt>
              </c:numCache>
            </c:numRef>
          </c:val>
          <c:extLst>
            <c:ext xmlns:c16="http://schemas.microsoft.com/office/drawing/2014/chart" uri="{C3380CC4-5D6E-409C-BE32-E72D297353CC}">
              <c16:uniqueId val="{00000001-A01D-4357-BC50-3D268225F2DF}"/>
            </c:ext>
          </c:extLst>
        </c:ser>
        <c:dLbls>
          <c:showLegendKey val="0"/>
          <c:showVal val="0"/>
          <c:showCatName val="0"/>
          <c:showSerName val="0"/>
          <c:showPercent val="0"/>
          <c:showBubbleSize val="0"/>
        </c:dLbls>
        <c:gapWidth val="150"/>
        <c:axId val="139795216"/>
        <c:axId val="139798672"/>
      </c:barChart>
      <c:catAx>
        <c:axId val="139795216"/>
        <c:scaling>
          <c:orientation val="maxMin"/>
        </c:scaling>
        <c:delete val="0"/>
        <c:axPos val="l"/>
        <c:numFmt formatCode="General" sourceLinked="1"/>
        <c:majorTickMark val="none"/>
        <c:minorTickMark val="none"/>
        <c:tickLblPos val="nextTo"/>
        <c:crossAx val="139798672"/>
        <c:crosses val="autoZero"/>
        <c:auto val="1"/>
        <c:lblAlgn val="ctr"/>
        <c:lblOffset val="100"/>
        <c:noMultiLvlLbl val="0"/>
      </c:catAx>
      <c:valAx>
        <c:axId val="139798672"/>
        <c:scaling>
          <c:orientation val="minMax"/>
        </c:scaling>
        <c:delete val="0"/>
        <c:axPos val="t"/>
        <c:majorGridlines/>
        <c:title>
          <c:tx>
            <c:rich>
              <a:bodyPr/>
              <a:lstStyle/>
              <a:p>
                <a:pPr>
                  <a:defRPr/>
                </a:pPr>
                <a:r>
                  <a:rPr lang="en-GB"/>
                  <a:t>%</a:t>
                </a:r>
              </a:p>
            </c:rich>
          </c:tx>
          <c:overlay val="0"/>
        </c:title>
        <c:numFmt formatCode="0.0" sourceLinked="1"/>
        <c:majorTickMark val="none"/>
        <c:minorTickMark val="none"/>
        <c:tickLblPos val="nextTo"/>
        <c:crossAx val="139795216"/>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600"/>
              <a:t>National</a:t>
            </a:r>
            <a:r>
              <a:rPr lang="en-GB" sz="1600" baseline="0"/>
              <a:t> t</a:t>
            </a:r>
            <a:r>
              <a:rPr lang="en-GB" sz="1600"/>
              <a:t>rends in economic activity rates</a:t>
            </a:r>
          </a:p>
        </c:rich>
      </c:tx>
      <c:overlay val="0"/>
    </c:title>
    <c:autoTitleDeleted val="0"/>
    <c:plotArea>
      <c:layout/>
      <c:lineChart>
        <c:grouping val="standard"/>
        <c:varyColors val="0"/>
        <c:ser>
          <c:idx val="0"/>
          <c:order val="0"/>
          <c:tx>
            <c:strRef>
              <c:f>Sheet1!$B$1</c:f>
              <c:strCache>
                <c:ptCount val="1"/>
                <c:pt idx="0">
                  <c:v>Disabled women</c:v>
                </c:pt>
              </c:strCache>
            </c:strRef>
          </c:tx>
          <c:cat>
            <c:numRef>
              <c:f>Sheet1!$A$2:$A$8</c:f>
              <c:numCache>
                <c:formatCode>General</c:formatCode>
                <c:ptCount val="7"/>
                <c:pt idx="0">
                  <c:v>2008</c:v>
                </c:pt>
                <c:pt idx="1">
                  <c:v>2009</c:v>
                </c:pt>
                <c:pt idx="2">
                  <c:v>2010</c:v>
                </c:pt>
                <c:pt idx="3">
                  <c:v>2011</c:v>
                </c:pt>
                <c:pt idx="4">
                  <c:v>2012</c:v>
                </c:pt>
                <c:pt idx="5">
                  <c:v>2013</c:v>
                </c:pt>
                <c:pt idx="6">
                  <c:v>2014</c:v>
                </c:pt>
              </c:numCache>
            </c:numRef>
          </c:cat>
          <c:val>
            <c:numRef>
              <c:f>Sheet1!$B$2:$B$8</c:f>
              <c:numCache>
                <c:formatCode>General</c:formatCode>
                <c:ptCount val="7"/>
                <c:pt idx="0">
                  <c:v>48.4</c:v>
                </c:pt>
                <c:pt idx="1">
                  <c:v>49.6</c:v>
                </c:pt>
                <c:pt idx="3">
                  <c:v>54</c:v>
                </c:pt>
                <c:pt idx="4">
                  <c:v>54.9</c:v>
                </c:pt>
                <c:pt idx="5">
                  <c:v>52.4</c:v>
                </c:pt>
                <c:pt idx="6" formatCode="0.0">
                  <c:v>49.94</c:v>
                </c:pt>
              </c:numCache>
            </c:numRef>
          </c:val>
          <c:smooth val="0"/>
          <c:extLst>
            <c:ext xmlns:c16="http://schemas.microsoft.com/office/drawing/2014/chart" uri="{C3380CC4-5D6E-409C-BE32-E72D297353CC}">
              <c16:uniqueId val="{00000000-B378-4470-AEF1-7ADBED803F45}"/>
            </c:ext>
          </c:extLst>
        </c:ser>
        <c:ser>
          <c:idx val="1"/>
          <c:order val="1"/>
          <c:tx>
            <c:strRef>
              <c:f>Sheet1!$C$1</c:f>
              <c:strCache>
                <c:ptCount val="1"/>
                <c:pt idx="0">
                  <c:v>Disabled men</c:v>
                </c:pt>
              </c:strCache>
            </c:strRef>
          </c:tx>
          <c:cat>
            <c:numRef>
              <c:f>Sheet1!$A$2:$A$8</c:f>
              <c:numCache>
                <c:formatCode>General</c:formatCode>
                <c:ptCount val="7"/>
                <c:pt idx="0">
                  <c:v>2008</c:v>
                </c:pt>
                <c:pt idx="1">
                  <c:v>2009</c:v>
                </c:pt>
                <c:pt idx="2">
                  <c:v>2010</c:v>
                </c:pt>
                <c:pt idx="3">
                  <c:v>2011</c:v>
                </c:pt>
                <c:pt idx="4">
                  <c:v>2012</c:v>
                </c:pt>
                <c:pt idx="5">
                  <c:v>2013</c:v>
                </c:pt>
                <c:pt idx="6">
                  <c:v>2014</c:v>
                </c:pt>
              </c:numCache>
            </c:numRef>
          </c:cat>
          <c:val>
            <c:numRef>
              <c:f>Sheet1!$C$2:$C$8</c:f>
              <c:numCache>
                <c:formatCode>General</c:formatCode>
                <c:ptCount val="7"/>
                <c:pt idx="0">
                  <c:v>69.2</c:v>
                </c:pt>
                <c:pt idx="1">
                  <c:v>66.5</c:v>
                </c:pt>
                <c:pt idx="3">
                  <c:v>70.599999999999994</c:v>
                </c:pt>
                <c:pt idx="4">
                  <c:v>67.5</c:v>
                </c:pt>
                <c:pt idx="5">
                  <c:v>69.099999999999994</c:v>
                </c:pt>
                <c:pt idx="6" formatCode="0.0">
                  <c:v>72.13</c:v>
                </c:pt>
              </c:numCache>
            </c:numRef>
          </c:val>
          <c:smooth val="0"/>
          <c:extLst>
            <c:ext xmlns:c16="http://schemas.microsoft.com/office/drawing/2014/chart" uri="{C3380CC4-5D6E-409C-BE32-E72D297353CC}">
              <c16:uniqueId val="{00000001-B378-4470-AEF1-7ADBED803F45}"/>
            </c:ext>
          </c:extLst>
        </c:ser>
        <c:ser>
          <c:idx val="2"/>
          <c:order val="2"/>
          <c:tx>
            <c:strRef>
              <c:f>Sheet1!$D$1</c:f>
              <c:strCache>
                <c:ptCount val="1"/>
                <c:pt idx="0">
                  <c:v>Non-disabled women</c:v>
                </c:pt>
              </c:strCache>
            </c:strRef>
          </c:tx>
          <c:cat>
            <c:numRef>
              <c:f>Sheet1!$A$2:$A$8</c:f>
              <c:numCache>
                <c:formatCode>General</c:formatCode>
                <c:ptCount val="7"/>
                <c:pt idx="0">
                  <c:v>2008</c:v>
                </c:pt>
                <c:pt idx="1">
                  <c:v>2009</c:v>
                </c:pt>
                <c:pt idx="2">
                  <c:v>2010</c:v>
                </c:pt>
                <c:pt idx="3">
                  <c:v>2011</c:v>
                </c:pt>
                <c:pt idx="4">
                  <c:v>2012</c:v>
                </c:pt>
                <c:pt idx="5">
                  <c:v>2013</c:v>
                </c:pt>
                <c:pt idx="6">
                  <c:v>2014</c:v>
                </c:pt>
              </c:numCache>
            </c:numRef>
          </c:cat>
          <c:val>
            <c:numRef>
              <c:f>Sheet1!$D$2:$D$8</c:f>
              <c:numCache>
                <c:formatCode>General</c:formatCode>
                <c:ptCount val="7"/>
                <c:pt idx="0">
                  <c:v>70.7</c:v>
                </c:pt>
                <c:pt idx="1">
                  <c:v>70.2</c:v>
                </c:pt>
                <c:pt idx="3">
                  <c:v>76.099999999999994</c:v>
                </c:pt>
                <c:pt idx="4">
                  <c:v>77.5</c:v>
                </c:pt>
                <c:pt idx="5">
                  <c:v>77.5</c:v>
                </c:pt>
                <c:pt idx="6" formatCode="0.0">
                  <c:v>77.38</c:v>
                </c:pt>
              </c:numCache>
            </c:numRef>
          </c:val>
          <c:smooth val="0"/>
          <c:extLst>
            <c:ext xmlns:c16="http://schemas.microsoft.com/office/drawing/2014/chart" uri="{C3380CC4-5D6E-409C-BE32-E72D297353CC}">
              <c16:uniqueId val="{00000002-B378-4470-AEF1-7ADBED803F45}"/>
            </c:ext>
          </c:extLst>
        </c:ser>
        <c:ser>
          <c:idx val="3"/>
          <c:order val="3"/>
          <c:tx>
            <c:strRef>
              <c:f>Sheet1!$E$1</c:f>
              <c:strCache>
                <c:ptCount val="1"/>
                <c:pt idx="0">
                  <c:v>Non-disabled men</c:v>
                </c:pt>
              </c:strCache>
            </c:strRef>
          </c:tx>
          <c:cat>
            <c:numRef>
              <c:f>Sheet1!$A$2:$A$8</c:f>
              <c:numCache>
                <c:formatCode>General</c:formatCode>
                <c:ptCount val="7"/>
                <c:pt idx="0">
                  <c:v>2008</c:v>
                </c:pt>
                <c:pt idx="1">
                  <c:v>2009</c:v>
                </c:pt>
                <c:pt idx="2">
                  <c:v>2010</c:v>
                </c:pt>
                <c:pt idx="3">
                  <c:v>2011</c:v>
                </c:pt>
                <c:pt idx="4">
                  <c:v>2012</c:v>
                </c:pt>
                <c:pt idx="5">
                  <c:v>2013</c:v>
                </c:pt>
                <c:pt idx="6">
                  <c:v>2014</c:v>
                </c:pt>
              </c:numCache>
            </c:numRef>
          </c:cat>
          <c:val>
            <c:numRef>
              <c:f>Sheet1!$E$2:$E$8</c:f>
              <c:numCache>
                <c:formatCode>General</c:formatCode>
                <c:ptCount val="7"/>
                <c:pt idx="0">
                  <c:v>84.7</c:v>
                </c:pt>
                <c:pt idx="1">
                  <c:v>84.8</c:v>
                </c:pt>
                <c:pt idx="3">
                  <c:v>87.4</c:v>
                </c:pt>
                <c:pt idx="4">
                  <c:v>87.8</c:v>
                </c:pt>
                <c:pt idx="5">
                  <c:v>87.9</c:v>
                </c:pt>
                <c:pt idx="6" formatCode="0.0">
                  <c:v>87.3</c:v>
                </c:pt>
              </c:numCache>
            </c:numRef>
          </c:val>
          <c:smooth val="0"/>
          <c:extLst>
            <c:ext xmlns:c16="http://schemas.microsoft.com/office/drawing/2014/chart" uri="{C3380CC4-5D6E-409C-BE32-E72D297353CC}">
              <c16:uniqueId val="{00000003-B378-4470-AEF1-7ADBED803F45}"/>
            </c:ext>
          </c:extLst>
        </c:ser>
        <c:ser>
          <c:idx val="4"/>
          <c:order val="4"/>
          <c:tx>
            <c:strRef>
              <c:f>Sheet1!$F$1</c:f>
              <c:strCache>
                <c:ptCount val="1"/>
                <c:pt idx="0">
                  <c:v>EU average (all)</c:v>
                </c:pt>
              </c:strCache>
            </c:strRef>
          </c:tx>
          <c:cat>
            <c:numRef>
              <c:f>Sheet1!$A$2:$A$8</c:f>
              <c:numCache>
                <c:formatCode>General</c:formatCode>
                <c:ptCount val="7"/>
                <c:pt idx="0">
                  <c:v>2008</c:v>
                </c:pt>
                <c:pt idx="1">
                  <c:v>2009</c:v>
                </c:pt>
                <c:pt idx="2">
                  <c:v>2010</c:v>
                </c:pt>
                <c:pt idx="3">
                  <c:v>2011</c:v>
                </c:pt>
                <c:pt idx="4">
                  <c:v>2012</c:v>
                </c:pt>
                <c:pt idx="5">
                  <c:v>2013</c:v>
                </c:pt>
                <c:pt idx="6">
                  <c:v>2014</c:v>
                </c:pt>
              </c:numCache>
            </c:numRef>
          </c:cat>
          <c:val>
            <c:numRef>
              <c:f>Sheet1!$F$2:$F$8</c:f>
              <c:numCache>
                <c:formatCode>General</c:formatCode>
                <c:ptCount val="7"/>
                <c:pt idx="0">
                  <c:v>75</c:v>
                </c:pt>
                <c:pt idx="1">
                  <c:v>75.3</c:v>
                </c:pt>
                <c:pt idx="2">
                  <c:v>75.400000000000006</c:v>
                </c:pt>
                <c:pt idx="3">
                  <c:v>75.8</c:v>
                </c:pt>
                <c:pt idx="4">
                  <c:v>76.3</c:v>
                </c:pt>
                <c:pt idx="5">
                  <c:v>76.8</c:v>
                </c:pt>
                <c:pt idx="6" formatCode="0.0">
                  <c:v>77.5</c:v>
                </c:pt>
              </c:numCache>
            </c:numRef>
          </c:val>
          <c:smooth val="0"/>
          <c:extLst>
            <c:ext xmlns:c16="http://schemas.microsoft.com/office/drawing/2014/chart" uri="{C3380CC4-5D6E-409C-BE32-E72D297353CC}">
              <c16:uniqueId val="{00000004-B378-4470-AEF1-7ADBED803F45}"/>
            </c:ext>
          </c:extLst>
        </c:ser>
        <c:dLbls>
          <c:showLegendKey val="0"/>
          <c:showVal val="0"/>
          <c:showCatName val="0"/>
          <c:showSerName val="0"/>
          <c:showPercent val="0"/>
          <c:showBubbleSize val="0"/>
        </c:dLbls>
        <c:marker val="1"/>
        <c:smooth val="0"/>
        <c:axId val="141067296"/>
        <c:axId val="141067688"/>
      </c:lineChart>
      <c:catAx>
        <c:axId val="141067296"/>
        <c:scaling>
          <c:orientation val="minMax"/>
        </c:scaling>
        <c:delete val="0"/>
        <c:axPos val="b"/>
        <c:numFmt formatCode="General" sourceLinked="1"/>
        <c:majorTickMark val="none"/>
        <c:minorTickMark val="none"/>
        <c:tickLblPos val="nextTo"/>
        <c:crossAx val="141067688"/>
        <c:crosses val="autoZero"/>
        <c:auto val="1"/>
        <c:lblAlgn val="ctr"/>
        <c:lblOffset val="100"/>
        <c:noMultiLvlLbl val="0"/>
      </c:catAx>
      <c:valAx>
        <c:axId val="141067688"/>
        <c:scaling>
          <c:orientation val="minMax"/>
        </c:scaling>
        <c:delete val="0"/>
        <c:axPos val="l"/>
        <c:majorGridlines/>
        <c:title>
          <c:tx>
            <c:rich>
              <a:bodyPr/>
              <a:lstStyle/>
              <a:p>
                <a:pPr>
                  <a:defRPr/>
                </a:pPr>
                <a:r>
                  <a:rPr lang="en-GB"/>
                  <a:t>%</a:t>
                </a:r>
              </a:p>
            </c:rich>
          </c:tx>
          <c:overlay val="0"/>
        </c:title>
        <c:numFmt formatCode="General" sourceLinked="1"/>
        <c:majorTickMark val="none"/>
        <c:minorTickMark val="none"/>
        <c:tickLblPos val="nextTo"/>
        <c:crossAx val="141067296"/>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en-GB"/>
              <a:t>Early school leavers</a:t>
            </a:r>
          </a:p>
        </c:rich>
      </c:tx>
      <c:overlay val="0"/>
    </c:title>
    <c:autoTitleDeleted val="0"/>
    <c:plotArea>
      <c:layout/>
      <c:barChart>
        <c:barDir val="col"/>
        <c:grouping val="clustered"/>
        <c:varyColors val="0"/>
        <c:ser>
          <c:idx val="0"/>
          <c:order val="0"/>
          <c:tx>
            <c:strRef>
              <c:f>Sheet1!$B$1</c:f>
              <c:strCache>
                <c:ptCount val="1"/>
                <c:pt idx="0">
                  <c:v>EU28 average</c:v>
                </c:pt>
              </c:strCache>
            </c:strRef>
          </c:tx>
          <c:invertIfNegative val="0"/>
          <c:cat>
            <c:strRef>
              <c:f>Sheet1!$A$2:$A$5</c:f>
              <c:strCache>
                <c:ptCount val="4"/>
                <c:pt idx="0">
                  <c:v>Disabled young people (18-24)</c:v>
                </c:pt>
                <c:pt idx="1">
                  <c:v>Non-disabled (18-24)</c:v>
                </c:pt>
                <c:pt idx="2">
                  <c:v>Disabled young people (18-29)</c:v>
                </c:pt>
                <c:pt idx="3">
                  <c:v>Non-disabled (18-29)</c:v>
                </c:pt>
              </c:strCache>
            </c:strRef>
          </c:cat>
          <c:val>
            <c:numRef>
              <c:f>Sheet1!$B$2:$B$5</c:f>
              <c:numCache>
                <c:formatCode>0.0</c:formatCode>
                <c:ptCount val="4"/>
                <c:pt idx="0">
                  <c:v>22.52</c:v>
                </c:pt>
                <c:pt idx="1">
                  <c:v>11.24</c:v>
                </c:pt>
                <c:pt idx="2">
                  <c:v>23.9</c:v>
                </c:pt>
                <c:pt idx="3">
                  <c:v>12.35</c:v>
                </c:pt>
              </c:numCache>
            </c:numRef>
          </c:val>
          <c:extLst>
            <c:ext xmlns:c16="http://schemas.microsoft.com/office/drawing/2014/chart" uri="{C3380CC4-5D6E-409C-BE32-E72D297353CC}">
              <c16:uniqueId val="{00000000-F0D4-4098-938D-E10844EF6FFB}"/>
            </c:ext>
          </c:extLst>
        </c:ser>
        <c:ser>
          <c:idx val="1"/>
          <c:order val="1"/>
          <c:tx>
            <c:strRef>
              <c:f>Sheet1!$C$1</c:f>
              <c:strCache>
                <c:ptCount val="1"/>
                <c:pt idx="0">
                  <c:v>National average</c:v>
                </c:pt>
              </c:strCache>
            </c:strRef>
          </c:tx>
          <c:invertIfNegative val="0"/>
          <c:cat>
            <c:strRef>
              <c:f>Sheet1!$A$2:$A$5</c:f>
              <c:strCache>
                <c:ptCount val="4"/>
                <c:pt idx="0">
                  <c:v>Disabled young people (18-24)</c:v>
                </c:pt>
                <c:pt idx="1">
                  <c:v>Non-disabled (18-24)</c:v>
                </c:pt>
                <c:pt idx="2">
                  <c:v>Disabled young people (18-29)</c:v>
                </c:pt>
                <c:pt idx="3">
                  <c:v>Non-disabled (18-29)</c:v>
                </c:pt>
              </c:strCache>
            </c:strRef>
          </c:cat>
          <c:val>
            <c:numRef>
              <c:f>Sheet1!$C$2:$C$5</c:f>
              <c:numCache>
                <c:formatCode>0.0</c:formatCode>
                <c:ptCount val="4"/>
                <c:pt idx="0">
                  <c:v>15.42</c:v>
                </c:pt>
                <c:pt idx="1">
                  <c:v>5.31</c:v>
                </c:pt>
                <c:pt idx="2">
                  <c:v>18.02</c:v>
                </c:pt>
                <c:pt idx="3">
                  <c:v>7.47</c:v>
                </c:pt>
              </c:numCache>
            </c:numRef>
          </c:val>
          <c:extLst>
            <c:ext xmlns:c16="http://schemas.microsoft.com/office/drawing/2014/chart" uri="{C3380CC4-5D6E-409C-BE32-E72D297353CC}">
              <c16:uniqueId val="{00000001-F0D4-4098-938D-E10844EF6FFB}"/>
            </c:ext>
          </c:extLst>
        </c:ser>
        <c:dLbls>
          <c:showLegendKey val="0"/>
          <c:showVal val="0"/>
          <c:showCatName val="0"/>
          <c:showSerName val="0"/>
          <c:showPercent val="0"/>
          <c:showBubbleSize val="0"/>
        </c:dLbls>
        <c:gapWidth val="150"/>
        <c:axId val="141068864"/>
        <c:axId val="141069256"/>
      </c:barChart>
      <c:catAx>
        <c:axId val="141068864"/>
        <c:scaling>
          <c:orientation val="minMax"/>
        </c:scaling>
        <c:delete val="0"/>
        <c:axPos val="b"/>
        <c:numFmt formatCode="General" sourceLinked="1"/>
        <c:majorTickMark val="none"/>
        <c:minorTickMark val="none"/>
        <c:tickLblPos val="nextTo"/>
        <c:crossAx val="141069256"/>
        <c:crosses val="autoZero"/>
        <c:auto val="1"/>
        <c:lblAlgn val="ctr"/>
        <c:lblOffset val="100"/>
        <c:noMultiLvlLbl val="0"/>
      </c:catAx>
      <c:valAx>
        <c:axId val="141069256"/>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141068864"/>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en-GB"/>
              <a:t>Completion of tertiary education</a:t>
            </a:r>
          </a:p>
        </c:rich>
      </c:tx>
      <c:overlay val="0"/>
    </c:title>
    <c:autoTitleDeleted val="0"/>
    <c:plotArea>
      <c:layout/>
      <c:barChart>
        <c:barDir val="col"/>
        <c:grouping val="clustered"/>
        <c:varyColors val="0"/>
        <c:ser>
          <c:idx val="0"/>
          <c:order val="0"/>
          <c:tx>
            <c:strRef>
              <c:f>Sheet1!$B$1</c:f>
              <c:strCache>
                <c:ptCount val="1"/>
                <c:pt idx="0">
                  <c:v>EU28 average</c:v>
                </c:pt>
              </c:strCache>
            </c:strRef>
          </c:tx>
          <c:invertIfNegative val="0"/>
          <c:cat>
            <c:strRef>
              <c:f>Sheet1!$A$2:$A$5</c:f>
              <c:strCache>
                <c:ptCount val="4"/>
                <c:pt idx="0">
                  <c:v>Disabled young people (30-34)</c:v>
                </c:pt>
                <c:pt idx="1">
                  <c:v>Non-disabled (30-34)</c:v>
                </c:pt>
                <c:pt idx="2">
                  <c:v>Disabled young people (30-39)</c:v>
                </c:pt>
                <c:pt idx="3">
                  <c:v>Non-disabled (30-39)</c:v>
                </c:pt>
              </c:strCache>
            </c:strRef>
          </c:cat>
          <c:val>
            <c:numRef>
              <c:f>Sheet1!$B$2:$B$5</c:f>
              <c:numCache>
                <c:formatCode>0.0</c:formatCode>
                <c:ptCount val="4"/>
                <c:pt idx="0">
                  <c:v>29.69</c:v>
                </c:pt>
                <c:pt idx="1">
                  <c:v>42.56</c:v>
                </c:pt>
                <c:pt idx="2">
                  <c:v>26.93</c:v>
                </c:pt>
                <c:pt idx="3">
                  <c:v>40.82</c:v>
                </c:pt>
              </c:numCache>
            </c:numRef>
          </c:val>
          <c:extLst>
            <c:ext xmlns:c16="http://schemas.microsoft.com/office/drawing/2014/chart" uri="{C3380CC4-5D6E-409C-BE32-E72D297353CC}">
              <c16:uniqueId val="{00000000-AAEC-4C59-9D43-165F67258093}"/>
            </c:ext>
          </c:extLst>
        </c:ser>
        <c:ser>
          <c:idx val="1"/>
          <c:order val="1"/>
          <c:tx>
            <c:strRef>
              <c:f>Sheet1!$C$1</c:f>
              <c:strCache>
                <c:ptCount val="1"/>
                <c:pt idx="0">
                  <c:v>National average</c:v>
                </c:pt>
              </c:strCache>
            </c:strRef>
          </c:tx>
          <c:invertIfNegative val="0"/>
          <c:cat>
            <c:strRef>
              <c:f>Sheet1!$A$2:$A$5</c:f>
              <c:strCache>
                <c:ptCount val="4"/>
                <c:pt idx="0">
                  <c:v>Disabled young people (30-34)</c:v>
                </c:pt>
                <c:pt idx="1">
                  <c:v>Non-disabled (30-34)</c:v>
                </c:pt>
                <c:pt idx="2">
                  <c:v>Disabled young people (30-39)</c:v>
                </c:pt>
                <c:pt idx="3">
                  <c:v>Non-disabled (30-39)</c:v>
                </c:pt>
              </c:strCache>
            </c:strRef>
          </c:cat>
          <c:val>
            <c:numRef>
              <c:f>Sheet1!$C$2:$C$5</c:f>
              <c:numCache>
                <c:formatCode>0.0</c:formatCode>
                <c:ptCount val="4"/>
                <c:pt idx="0">
                  <c:v>52.21</c:v>
                </c:pt>
                <c:pt idx="1">
                  <c:v>55.69</c:v>
                </c:pt>
                <c:pt idx="2">
                  <c:v>43.28</c:v>
                </c:pt>
                <c:pt idx="3">
                  <c:v>50.31</c:v>
                </c:pt>
              </c:numCache>
            </c:numRef>
          </c:val>
          <c:extLst>
            <c:ext xmlns:c16="http://schemas.microsoft.com/office/drawing/2014/chart" uri="{C3380CC4-5D6E-409C-BE32-E72D297353CC}">
              <c16:uniqueId val="{00000001-AAEC-4C59-9D43-165F67258093}"/>
            </c:ext>
          </c:extLst>
        </c:ser>
        <c:dLbls>
          <c:showLegendKey val="0"/>
          <c:showVal val="0"/>
          <c:showCatName val="0"/>
          <c:showSerName val="0"/>
          <c:showPercent val="0"/>
          <c:showBubbleSize val="0"/>
        </c:dLbls>
        <c:gapWidth val="150"/>
        <c:axId val="247268432"/>
        <c:axId val="247268824"/>
      </c:barChart>
      <c:catAx>
        <c:axId val="247268432"/>
        <c:scaling>
          <c:orientation val="minMax"/>
        </c:scaling>
        <c:delete val="0"/>
        <c:axPos val="b"/>
        <c:numFmt formatCode="General" sourceLinked="1"/>
        <c:majorTickMark val="none"/>
        <c:minorTickMark val="none"/>
        <c:tickLblPos val="nextTo"/>
        <c:crossAx val="247268824"/>
        <c:crosses val="autoZero"/>
        <c:auto val="1"/>
        <c:lblAlgn val="ctr"/>
        <c:lblOffset val="100"/>
        <c:noMultiLvlLbl val="0"/>
      </c:catAx>
      <c:valAx>
        <c:axId val="247268824"/>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247268432"/>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600"/>
              <a:t>Indicative trends in tertiary education rates</a:t>
            </a:r>
          </a:p>
        </c:rich>
      </c:tx>
      <c:layout>
        <c:manualLayout>
          <c:xMode val="edge"/>
          <c:yMode val="edge"/>
          <c:x val="0.17858213035870515"/>
          <c:y val="1.6427104722792608E-2"/>
        </c:manualLayout>
      </c:layout>
      <c:overlay val="0"/>
    </c:title>
    <c:autoTitleDeleted val="0"/>
    <c:plotArea>
      <c:layout/>
      <c:lineChart>
        <c:grouping val="standard"/>
        <c:varyColors val="0"/>
        <c:ser>
          <c:idx val="0"/>
          <c:order val="0"/>
          <c:tx>
            <c:strRef>
              <c:f>Sheet1!$B$1</c:f>
              <c:strCache>
                <c:ptCount val="1"/>
                <c:pt idx="0">
                  <c:v>Disabled (national)</c:v>
                </c:pt>
              </c:strCache>
            </c:strRef>
          </c:tx>
          <c:cat>
            <c:numRef>
              <c:f>Sheet1!$A$2:$A$8</c:f>
              <c:numCache>
                <c:formatCode>General</c:formatCode>
                <c:ptCount val="7"/>
                <c:pt idx="0">
                  <c:v>2008</c:v>
                </c:pt>
                <c:pt idx="1">
                  <c:v>2009</c:v>
                </c:pt>
                <c:pt idx="2">
                  <c:v>2010</c:v>
                </c:pt>
                <c:pt idx="3">
                  <c:v>2011</c:v>
                </c:pt>
                <c:pt idx="4">
                  <c:v>2012</c:v>
                </c:pt>
                <c:pt idx="5">
                  <c:v>2013</c:v>
                </c:pt>
                <c:pt idx="6">
                  <c:v>2014</c:v>
                </c:pt>
              </c:numCache>
            </c:numRef>
          </c:cat>
          <c:val>
            <c:numRef>
              <c:f>Sheet1!$B$2:$B$8</c:f>
              <c:numCache>
                <c:formatCode>General</c:formatCode>
                <c:ptCount val="7"/>
                <c:pt idx="0">
                  <c:v>26.4</c:v>
                </c:pt>
                <c:pt idx="1">
                  <c:v>21</c:v>
                </c:pt>
                <c:pt idx="3">
                  <c:v>38.4</c:v>
                </c:pt>
                <c:pt idx="4">
                  <c:v>29.8</c:v>
                </c:pt>
                <c:pt idx="5">
                  <c:v>31.6</c:v>
                </c:pt>
                <c:pt idx="6" formatCode="0.0">
                  <c:v>52.21</c:v>
                </c:pt>
              </c:numCache>
            </c:numRef>
          </c:val>
          <c:smooth val="0"/>
          <c:extLst>
            <c:ext xmlns:c16="http://schemas.microsoft.com/office/drawing/2014/chart" uri="{C3380CC4-5D6E-409C-BE32-E72D297353CC}">
              <c16:uniqueId val="{00000000-7683-4EB3-809D-29B82ECF63EA}"/>
            </c:ext>
          </c:extLst>
        </c:ser>
        <c:ser>
          <c:idx val="1"/>
          <c:order val="1"/>
          <c:tx>
            <c:strRef>
              <c:f>Sheet1!$C$1</c:f>
              <c:strCache>
                <c:ptCount val="1"/>
                <c:pt idx="0">
                  <c:v>Non-disabled (national)</c:v>
                </c:pt>
              </c:strCache>
            </c:strRef>
          </c:tx>
          <c:cat>
            <c:numRef>
              <c:f>Sheet1!$A$2:$A$8</c:f>
              <c:numCache>
                <c:formatCode>General</c:formatCode>
                <c:ptCount val="7"/>
                <c:pt idx="0">
                  <c:v>2008</c:v>
                </c:pt>
                <c:pt idx="1">
                  <c:v>2009</c:v>
                </c:pt>
                <c:pt idx="2">
                  <c:v>2010</c:v>
                </c:pt>
                <c:pt idx="3">
                  <c:v>2011</c:v>
                </c:pt>
                <c:pt idx="4">
                  <c:v>2012</c:v>
                </c:pt>
                <c:pt idx="5">
                  <c:v>2013</c:v>
                </c:pt>
                <c:pt idx="6">
                  <c:v>2014</c:v>
                </c:pt>
              </c:numCache>
            </c:numRef>
          </c:cat>
          <c:val>
            <c:numRef>
              <c:f>Sheet1!$C$2:$C$8</c:f>
              <c:numCache>
                <c:formatCode>General</c:formatCode>
                <c:ptCount val="7"/>
                <c:pt idx="0">
                  <c:v>43.6</c:v>
                </c:pt>
                <c:pt idx="1">
                  <c:v>42.5</c:v>
                </c:pt>
                <c:pt idx="3">
                  <c:v>52.7</c:v>
                </c:pt>
                <c:pt idx="4">
                  <c:v>51.7</c:v>
                </c:pt>
                <c:pt idx="5">
                  <c:v>53.2</c:v>
                </c:pt>
                <c:pt idx="6" formatCode="0.0">
                  <c:v>55.69</c:v>
                </c:pt>
              </c:numCache>
            </c:numRef>
          </c:val>
          <c:smooth val="0"/>
          <c:extLst>
            <c:ext xmlns:c16="http://schemas.microsoft.com/office/drawing/2014/chart" uri="{C3380CC4-5D6E-409C-BE32-E72D297353CC}">
              <c16:uniqueId val="{00000001-7683-4EB3-809D-29B82ECF63EA}"/>
            </c:ext>
          </c:extLst>
        </c:ser>
        <c:ser>
          <c:idx val="2"/>
          <c:order val="2"/>
          <c:tx>
            <c:strRef>
              <c:f>Sheet1!$D$1</c:f>
              <c:strCache>
                <c:ptCount val="1"/>
                <c:pt idx="0">
                  <c:v>Disabled EU)</c:v>
                </c:pt>
              </c:strCache>
            </c:strRef>
          </c:tx>
          <c:cat>
            <c:numRef>
              <c:f>Sheet1!$A$2:$A$8</c:f>
              <c:numCache>
                <c:formatCode>General</c:formatCode>
                <c:ptCount val="7"/>
                <c:pt idx="0">
                  <c:v>2008</c:v>
                </c:pt>
                <c:pt idx="1">
                  <c:v>2009</c:v>
                </c:pt>
                <c:pt idx="2">
                  <c:v>2010</c:v>
                </c:pt>
                <c:pt idx="3">
                  <c:v>2011</c:v>
                </c:pt>
                <c:pt idx="4">
                  <c:v>2012</c:v>
                </c:pt>
                <c:pt idx="5">
                  <c:v>2013</c:v>
                </c:pt>
                <c:pt idx="6">
                  <c:v>2014</c:v>
                </c:pt>
              </c:numCache>
            </c:numRef>
          </c:cat>
          <c:val>
            <c:numRef>
              <c:f>Sheet1!$D$2:$D$8</c:f>
              <c:numCache>
                <c:formatCode>General</c:formatCode>
                <c:ptCount val="7"/>
                <c:pt idx="0">
                  <c:v>20.399999999999999</c:v>
                </c:pt>
                <c:pt idx="1">
                  <c:v>21.6</c:v>
                </c:pt>
                <c:pt idx="2">
                  <c:v>22.8</c:v>
                </c:pt>
                <c:pt idx="3">
                  <c:v>27.1</c:v>
                </c:pt>
                <c:pt idx="4">
                  <c:v>27.8</c:v>
                </c:pt>
                <c:pt idx="5">
                  <c:v>28</c:v>
                </c:pt>
                <c:pt idx="6">
                  <c:v>29.7</c:v>
                </c:pt>
              </c:numCache>
            </c:numRef>
          </c:val>
          <c:smooth val="0"/>
          <c:extLst>
            <c:ext xmlns:c16="http://schemas.microsoft.com/office/drawing/2014/chart" uri="{C3380CC4-5D6E-409C-BE32-E72D297353CC}">
              <c16:uniqueId val="{00000002-7683-4EB3-809D-29B82ECF63EA}"/>
            </c:ext>
          </c:extLst>
        </c:ser>
        <c:ser>
          <c:idx val="3"/>
          <c:order val="3"/>
          <c:tx>
            <c:strRef>
              <c:f>Sheet1!$E$1</c:f>
              <c:strCache>
                <c:ptCount val="1"/>
                <c:pt idx="0">
                  <c:v>Non-disabled (EU)</c:v>
                </c:pt>
              </c:strCache>
            </c:strRef>
          </c:tx>
          <c:cat>
            <c:numRef>
              <c:f>Sheet1!$A$2:$A$8</c:f>
              <c:numCache>
                <c:formatCode>General</c:formatCode>
                <c:ptCount val="7"/>
                <c:pt idx="0">
                  <c:v>2008</c:v>
                </c:pt>
                <c:pt idx="1">
                  <c:v>2009</c:v>
                </c:pt>
                <c:pt idx="2">
                  <c:v>2010</c:v>
                </c:pt>
                <c:pt idx="3">
                  <c:v>2011</c:v>
                </c:pt>
                <c:pt idx="4">
                  <c:v>2012</c:v>
                </c:pt>
                <c:pt idx="5">
                  <c:v>2013</c:v>
                </c:pt>
                <c:pt idx="6">
                  <c:v>2014</c:v>
                </c:pt>
              </c:numCache>
            </c:numRef>
          </c:cat>
          <c:val>
            <c:numRef>
              <c:f>Sheet1!$E$2:$E$8</c:f>
              <c:numCache>
                <c:formatCode>General</c:formatCode>
                <c:ptCount val="7"/>
                <c:pt idx="0">
                  <c:v>33.1</c:v>
                </c:pt>
                <c:pt idx="1">
                  <c:v>35.4</c:v>
                </c:pt>
                <c:pt idx="2">
                  <c:v>37</c:v>
                </c:pt>
                <c:pt idx="3">
                  <c:v>36.9</c:v>
                </c:pt>
                <c:pt idx="4">
                  <c:v>39.299999999999997</c:v>
                </c:pt>
                <c:pt idx="5">
                  <c:v>40.700000000000003</c:v>
                </c:pt>
                <c:pt idx="6">
                  <c:v>42.6</c:v>
                </c:pt>
              </c:numCache>
            </c:numRef>
          </c:val>
          <c:smooth val="0"/>
          <c:extLst>
            <c:ext xmlns:c16="http://schemas.microsoft.com/office/drawing/2014/chart" uri="{C3380CC4-5D6E-409C-BE32-E72D297353CC}">
              <c16:uniqueId val="{00000003-7683-4EB3-809D-29B82ECF63EA}"/>
            </c:ext>
          </c:extLst>
        </c:ser>
        <c:dLbls>
          <c:showLegendKey val="0"/>
          <c:showVal val="0"/>
          <c:showCatName val="0"/>
          <c:showSerName val="0"/>
          <c:showPercent val="0"/>
          <c:showBubbleSize val="0"/>
        </c:dLbls>
        <c:marker val="1"/>
        <c:smooth val="0"/>
        <c:axId val="247270000"/>
        <c:axId val="247270392"/>
      </c:lineChart>
      <c:catAx>
        <c:axId val="247270000"/>
        <c:scaling>
          <c:orientation val="minMax"/>
        </c:scaling>
        <c:delete val="0"/>
        <c:axPos val="b"/>
        <c:numFmt formatCode="General" sourceLinked="1"/>
        <c:majorTickMark val="none"/>
        <c:minorTickMark val="none"/>
        <c:tickLblPos val="nextTo"/>
        <c:crossAx val="247270392"/>
        <c:crosses val="autoZero"/>
        <c:auto val="1"/>
        <c:lblAlgn val="ctr"/>
        <c:lblOffset val="100"/>
        <c:noMultiLvlLbl val="0"/>
      </c:catAx>
      <c:valAx>
        <c:axId val="247270392"/>
        <c:scaling>
          <c:orientation val="minMax"/>
        </c:scaling>
        <c:delete val="0"/>
        <c:axPos val="l"/>
        <c:majorGridlines/>
        <c:title>
          <c:tx>
            <c:rich>
              <a:bodyPr/>
              <a:lstStyle/>
              <a:p>
                <a:pPr>
                  <a:defRPr/>
                </a:pPr>
                <a:r>
                  <a:rPr lang="en-GB"/>
                  <a:t>%</a:t>
                </a:r>
              </a:p>
            </c:rich>
          </c:tx>
          <c:overlay val="0"/>
        </c:title>
        <c:numFmt formatCode="General" sourceLinked="1"/>
        <c:majorTickMark val="none"/>
        <c:minorTickMark val="none"/>
        <c:tickLblPos val="nextTo"/>
        <c:crossAx val="247270000"/>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en-GB"/>
              <a:t>Main types of </a:t>
            </a:r>
            <a:r>
              <a:rPr lang="en-GB" baseline="0"/>
              <a:t>h</a:t>
            </a:r>
            <a:r>
              <a:rPr lang="en-GB"/>
              <a:t>ousehold poverty risk</a:t>
            </a:r>
          </a:p>
        </c:rich>
      </c:tx>
      <c:overlay val="0"/>
    </c:title>
    <c:autoTitleDeleted val="0"/>
    <c:plotArea>
      <c:layout/>
      <c:barChart>
        <c:barDir val="col"/>
        <c:grouping val="clustered"/>
        <c:varyColors val="0"/>
        <c:ser>
          <c:idx val="0"/>
          <c:order val="0"/>
          <c:tx>
            <c:strRef>
              <c:f>Sheet1!$B$1</c:f>
              <c:strCache>
                <c:ptCount val="1"/>
                <c:pt idx="0">
                  <c:v>EU average</c:v>
                </c:pt>
              </c:strCache>
            </c:strRef>
          </c:tx>
          <c:invertIfNegative val="0"/>
          <c:cat>
            <c:strRef>
              <c:f>Sheet1!$A$2:$A$7</c:f>
              <c:strCache>
                <c:ptCount val="6"/>
                <c:pt idx="0">
                  <c:v>Disabled - low work intensity</c:v>
                </c:pt>
                <c:pt idx="1">
                  <c:v>Non-disabled - low work intensity</c:v>
                </c:pt>
                <c:pt idx="2">
                  <c:v>Disabled - low income</c:v>
                </c:pt>
                <c:pt idx="3">
                  <c:v>Non-disabled - low income</c:v>
                </c:pt>
                <c:pt idx="4">
                  <c:v>Disabled - materially deprived</c:v>
                </c:pt>
                <c:pt idx="5">
                  <c:v>Non-disabled - materially deprived</c:v>
                </c:pt>
              </c:strCache>
            </c:strRef>
          </c:cat>
          <c:val>
            <c:numRef>
              <c:f>Sheet1!$B$2:$B$7</c:f>
              <c:numCache>
                <c:formatCode>0.0</c:formatCode>
                <c:ptCount val="6"/>
                <c:pt idx="0">
                  <c:v>22.28</c:v>
                </c:pt>
                <c:pt idx="1">
                  <c:v>8.82</c:v>
                </c:pt>
                <c:pt idx="2">
                  <c:v>18.54</c:v>
                </c:pt>
                <c:pt idx="3">
                  <c:v>12.51</c:v>
                </c:pt>
                <c:pt idx="4">
                  <c:v>26.48</c:v>
                </c:pt>
                <c:pt idx="5">
                  <c:v>15.44</c:v>
                </c:pt>
              </c:numCache>
            </c:numRef>
          </c:val>
          <c:extLst>
            <c:ext xmlns:c16="http://schemas.microsoft.com/office/drawing/2014/chart" uri="{C3380CC4-5D6E-409C-BE32-E72D297353CC}">
              <c16:uniqueId val="{00000000-42F3-48F2-BBCA-7193CDB5B2A9}"/>
            </c:ext>
          </c:extLst>
        </c:ser>
        <c:ser>
          <c:idx val="1"/>
          <c:order val="1"/>
          <c:tx>
            <c:strRef>
              <c:f>Sheet1!$C$1</c:f>
              <c:strCache>
                <c:ptCount val="1"/>
                <c:pt idx="0">
                  <c:v>National average</c:v>
                </c:pt>
              </c:strCache>
            </c:strRef>
          </c:tx>
          <c:invertIfNegative val="0"/>
          <c:cat>
            <c:strRef>
              <c:f>Sheet1!$A$2:$A$7</c:f>
              <c:strCache>
                <c:ptCount val="6"/>
                <c:pt idx="0">
                  <c:v>Disabled - low work intensity</c:v>
                </c:pt>
                <c:pt idx="1">
                  <c:v>Non-disabled - low work intensity</c:v>
                </c:pt>
                <c:pt idx="2">
                  <c:v>Disabled - low income</c:v>
                </c:pt>
                <c:pt idx="3">
                  <c:v>Non-disabled - low income</c:v>
                </c:pt>
                <c:pt idx="4">
                  <c:v>Disabled - materially deprived</c:v>
                </c:pt>
                <c:pt idx="5">
                  <c:v>Non-disabled - materially deprived</c:v>
                </c:pt>
              </c:strCache>
            </c:strRef>
          </c:cat>
          <c:val>
            <c:numRef>
              <c:f>Sheet1!$C$2:$C$7</c:f>
              <c:numCache>
                <c:formatCode>0.0</c:formatCode>
                <c:ptCount val="6"/>
                <c:pt idx="0">
                  <c:v>25.13</c:v>
                </c:pt>
                <c:pt idx="1">
                  <c:v>8.73</c:v>
                </c:pt>
                <c:pt idx="2">
                  <c:v>23.15</c:v>
                </c:pt>
                <c:pt idx="3">
                  <c:v>15.87</c:v>
                </c:pt>
                <c:pt idx="4">
                  <c:v>15.45</c:v>
                </c:pt>
                <c:pt idx="5">
                  <c:v>7.76</c:v>
                </c:pt>
              </c:numCache>
            </c:numRef>
          </c:val>
          <c:extLst>
            <c:ext xmlns:c16="http://schemas.microsoft.com/office/drawing/2014/chart" uri="{C3380CC4-5D6E-409C-BE32-E72D297353CC}">
              <c16:uniqueId val="{00000001-42F3-48F2-BBCA-7193CDB5B2A9}"/>
            </c:ext>
          </c:extLst>
        </c:ser>
        <c:dLbls>
          <c:showLegendKey val="0"/>
          <c:showVal val="0"/>
          <c:showCatName val="0"/>
          <c:showSerName val="0"/>
          <c:showPercent val="0"/>
          <c:showBubbleSize val="0"/>
        </c:dLbls>
        <c:gapWidth val="150"/>
        <c:axId val="247271960"/>
        <c:axId val="247449464"/>
      </c:barChart>
      <c:catAx>
        <c:axId val="247271960"/>
        <c:scaling>
          <c:orientation val="minMax"/>
        </c:scaling>
        <c:delete val="0"/>
        <c:axPos val="b"/>
        <c:numFmt formatCode="General" sourceLinked="1"/>
        <c:majorTickMark val="none"/>
        <c:minorTickMark val="none"/>
        <c:tickLblPos val="nextTo"/>
        <c:crossAx val="247449464"/>
        <c:crosses val="autoZero"/>
        <c:auto val="1"/>
        <c:lblAlgn val="ctr"/>
        <c:lblOffset val="100"/>
        <c:noMultiLvlLbl val="0"/>
      </c:catAx>
      <c:valAx>
        <c:axId val="247449464"/>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247271960"/>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en-GB" sz="1600"/>
              <a:t>Overall poverty risk factors</a:t>
            </a:r>
          </a:p>
        </c:rich>
      </c:tx>
      <c:overlay val="0"/>
    </c:title>
    <c:autoTitleDeleted val="0"/>
    <c:plotArea>
      <c:layout/>
      <c:barChart>
        <c:barDir val="col"/>
        <c:grouping val="clustered"/>
        <c:varyColors val="0"/>
        <c:ser>
          <c:idx val="0"/>
          <c:order val="0"/>
          <c:tx>
            <c:strRef>
              <c:f>Sheet1!$B$1</c:f>
              <c:strCache>
                <c:ptCount val="1"/>
                <c:pt idx="0">
                  <c:v>EU average</c:v>
                </c:pt>
              </c:strCache>
            </c:strRef>
          </c:tx>
          <c:invertIfNegative val="0"/>
          <c:cat>
            <c:strRef>
              <c:f>Sheet1!$A$2:$A$8</c:f>
              <c:strCache>
                <c:ptCount val="7"/>
                <c:pt idx="0">
                  <c:v>No disability</c:v>
                </c:pt>
                <c:pt idx="1">
                  <c:v>Moderate disability</c:v>
                </c:pt>
                <c:pt idx="2">
                  <c:v>Severe disability</c:v>
                </c:pt>
                <c:pt idx="3">
                  <c:v>Disabled women</c:v>
                </c:pt>
                <c:pt idx="4">
                  <c:v>Disabled men</c:v>
                </c:pt>
                <c:pt idx="5">
                  <c:v>Non-disabled women</c:v>
                </c:pt>
                <c:pt idx="6">
                  <c:v>Non-disabled men</c:v>
                </c:pt>
              </c:strCache>
            </c:strRef>
          </c:cat>
          <c:val>
            <c:numRef>
              <c:f>Sheet1!$B$2:$B$8</c:f>
              <c:numCache>
                <c:formatCode>0.0</c:formatCode>
                <c:ptCount val="7"/>
                <c:pt idx="0">
                  <c:v>21.43</c:v>
                </c:pt>
                <c:pt idx="1">
                  <c:v>27</c:v>
                </c:pt>
                <c:pt idx="2">
                  <c:v>36.700000000000003</c:v>
                </c:pt>
                <c:pt idx="3">
                  <c:v>31.04</c:v>
                </c:pt>
                <c:pt idx="4" formatCode="General">
                  <c:v>28.81</c:v>
                </c:pt>
                <c:pt idx="5" formatCode="General">
                  <c:v>22.42</c:v>
                </c:pt>
                <c:pt idx="6" formatCode="General">
                  <c:v>20.43</c:v>
                </c:pt>
              </c:numCache>
            </c:numRef>
          </c:val>
          <c:extLst>
            <c:ext xmlns:c16="http://schemas.microsoft.com/office/drawing/2014/chart" uri="{C3380CC4-5D6E-409C-BE32-E72D297353CC}">
              <c16:uniqueId val="{00000000-A4ED-457F-A231-0C4AE6D68F82}"/>
            </c:ext>
          </c:extLst>
        </c:ser>
        <c:ser>
          <c:idx val="1"/>
          <c:order val="1"/>
          <c:tx>
            <c:strRef>
              <c:f>Sheet1!$C$1</c:f>
              <c:strCache>
                <c:ptCount val="1"/>
                <c:pt idx="0">
                  <c:v>National average</c:v>
                </c:pt>
              </c:strCache>
            </c:strRef>
          </c:tx>
          <c:invertIfNegative val="0"/>
          <c:cat>
            <c:strRef>
              <c:f>Sheet1!$A$2:$A$8</c:f>
              <c:strCache>
                <c:ptCount val="7"/>
                <c:pt idx="0">
                  <c:v>No disability</c:v>
                </c:pt>
                <c:pt idx="1">
                  <c:v>Moderate disability</c:v>
                </c:pt>
                <c:pt idx="2">
                  <c:v>Severe disability</c:v>
                </c:pt>
                <c:pt idx="3">
                  <c:v>Disabled women</c:v>
                </c:pt>
                <c:pt idx="4">
                  <c:v>Disabled men</c:v>
                </c:pt>
                <c:pt idx="5">
                  <c:v>Non-disabled women</c:v>
                </c:pt>
                <c:pt idx="6">
                  <c:v>Non-disabled men</c:v>
                </c:pt>
              </c:strCache>
            </c:strRef>
          </c:cat>
          <c:val>
            <c:numRef>
              <c:f>Sheet1!$C$2:$C$8</c:f>
              <c:numCache>
                <c:formatCode>0.0</c:formatCode>
                <c:ptCount val="7"/>
                <c:pt idx="0">
                  <c:v>25.75</c:v>
                </c:pt>
                <c:pt idx="1">
                  <c:v>34.78</c:v>
                </c:pt>
                <c:pt idx="2">
                  <c:v>43.16</c:v>
                </c:pt>
                <c:pt idx="3">
                  <c:v>39.35</c:v>
                </c:pt>
                <c:pt idx="4" formatCode="General">
                  <c:v>36.67</c:v>
                </c:pt>
                <c:pt idx="5" formatCode="General">
                  <c:v>26.99</c:v>
                </c:pt>
                <c:pt idx="6" formatCode="General">
                  <c:v>24.43</c:v>
                </c:pt>
              </c:numCache>
            </c:numRef>
          </c:val>
          <c:extLst>
            <c:ext xmlns:c16="http://schemas.microsoft.com/office/drawing/2014/chart" uri="{C3380CC4-5D6E-409C-BE32-E72D297353CC}">
              <c16:uniqueId val="{00000001-A4ED-457F-A231-0C4AE6D68F82}"/>
            </c:ext>
          </c:extLst>
        </c:ser>
        <c:dLbls>
          <c:showLegendKey val="0"/>
          <c:showVal val="0"/>
          <c:showCatName val="0"/>
          <c:showSerName val="0"/>
          <c:showPercent val="0"/>
          <c:showBubbleSize val="0"/>
        </c:dLbls>
        <c:gapWidth val="150"/>
        <c:axId val="247450640"/>
        <c:axId val="247451032"/>
      </c:barChart>
      <c:catAx>
        <c:axId val="247450640"/>
        <c:scaling>
          <c:orientation val="minMax"/>
        </c:scaling>
        <c:delete val="0"/>
        <c:axPos val="b"/>
        <c:numFmt formatCode="General" sourceLinked="1"/>
        <c:majorTickMark val="none"/>
        <c:minorTickMark val="none"/>
        <c:tickLblPos val="nextTo"/>
        <c:crossAx val="247451032"/>
        <c:crosses val="autoZero"/>
        <c:auto val="1"/>
        <c:lblAlgn val="ctr"/>
        <c:lblOffset val="100"/>
        <c:noMultiLvlLbl val="0"/>
      </c:catAx>
      <c:valAx>
        <c:axId val="247451032"/>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247450640"/>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en-GB"/>
              <a:t>Overall</a:t>
            </a:r>
            <a:r>
              <a:rPr lang="en-GB" baseline="0"/>
              <a:t> h</a:t>
            </a:r>
            <a:r>
              <a:rPr lang="en-GB"/>
              <a:t>ousehold poverty risk</a:t>
            </a:r>
            <a:r>
              <a:rPr lang="en-GB" baseline="0"/>
              <a:t> by age</a:t>
            </a:r>
            <a:endParaRPr lang="en-GB"/>
          </a:p>
        </c:rich>
      </c:tx>
      <c:overlay val="0"/>
    </c:title>
    <c:autoTitleDeleted val="0"/>
    <c:plotArea>
      <c:layout/>
      <c:barChart>
        <c:barDir val="col"/>
        <c:grouping val="clustered"/>
        <c:varyColors val="0"/>
        <c:ser>
          <c:idx val="0"/>
          <c:order val="0"/>
          <c:tx>
            <c:strRef>
              <c:f>Sheet1!$B$1</c:f>
              <c:strCache>
                <c:ptCount val="1"/>
                <c:pt idx="0">
                  <c:v>EU average</c:v>
                </c:pt>
              </c:strCache>
            </c:strRef>
          </c:tx>
          <c:invertIfNegative val="0"/>
          <c:cat>
            <c:strRef>
              <c:f>Sheet1!$A$2:$A$5</c:f>
              <c:strCache>
                <c:ptCount val="4"/>
                <c:pt idx="0">
                  <c:v>Disabled (16-64)</c:v>
                </c:pt>
                <c:pt idx="1">
                  <c:v>Non-disabled (16-64)</c:v>
                </c:pt>
                <c:pt idx="2">
                  <c:v>Disabled (65+)</c:v>
                </c:pt>
                <c:pt idx="3">
                  <c:v>Non-disabled (65+)</c:v>
                </c:pt>
              </c:strCache>
            </c:strRef>
          </c:cat>
          <c:val>
            <c:numRef>
              <c:f>Sheet1!$B$2:$B$5</c:f>
              <c:numCache>
                <c:formatCode>0.0</c:formatCode>
                <c:ptCount val="4"/>
                <c:pt idx="0">
                  <c:v>37.97</c:v>
                </c:pt>
                <c:pt idx="1">
                  <c:v>22.54</c:v>
                </c:pt>
                <c:pt idx="2">
                  <c:v>20.27</c:v>
                </c:pt>
                <c:pt idx="3">
                  <c:v>14.37</c:v>
                </c:pt>
              </c:numCache>
            </c:numRef>
          </c:val>
          <c:extLst>
            <c:ext xmlns:c16="http://schemas.microsoft.com/office/drawing/2014/chart" uri="{C3380CC4-5D6E-409C-BE32-E72D297353CC}">
              <c16:uniqueId val="{00000000-C656-41C0-93BE-4B34156C5DCA}"/>
            </c:ext>
          </c:extLst>
        </c:ser>
        <c:ser>
          <c:idx val="1"/>
          <c:order val="1"/>
          <c:tx>
            <c:strRef>
              <c:f>Sheet1!$C$1</c:f>
              <c:strCache>
                <c:ptCount val="1"/>
                <c:pt idx="0">
                  <c:v>National average</c:v>
                </c:pt>
              </c:strCache>
            </c:strRef>
          </c:tx>
          <c:invertIfNegative val="0"/>
          <c:cat>
            <c:strRef>
              <c:f>Sheet1!$A$2:$A$5</c:f>
              <c:strCache>
                <c:ptCount val="4"/>
                <c:pt idx="0">
                  <c:v>Disabled (16-64)</c:v>
                </c:pt>
                <c:pt idx="1">
                  <c:v>Non-disabled (16-64)</c:v>
                </c:pt>
                <c:pt idx="2">
                  <c:v>Disabled (65+)</c:v>
                </c:pt>
                <c:pt idx="3">
                  <c:v>Non-disabled (65+)</c:v>
                </c:pt>
              </c:strCache>
            </c:strRef>
          </c:cat>
          <c:val>
            <c:numRef>
              <c:f>Sheet1!$C$2:$C$5</c:f>
              <c:numCache>
                <c:formatCode>0.0</c:formatCode>
                <c:ptCount val="4"/>
                <c:pt idx="0">
                  <c:v>42.13</c:v>
                </c:pt>
                <c:pt idx="1">
                  <c:v>26.16</c:v>
                </c:pt>
                <c:pt idx="2">
                  <c:v>32.51</c:v>
                </c:pt>
                <c:pt idx="3">
                  <c:v>21.85</c:v>
                </c:pt>
              </c:numCache>
            </c:numRef>
          </c:val>
          <c:extLst>
            <c:ext xmlns:c16="http://schemas.microsoft.com/office/drawing/2014/chart" uri="{C3380CC4-5D6E-409C-BE32-E72D297353CC}">
              <c16:uniqueId val="{00000001-C656-41C0-93BE-4B34156C5DCA}"/>
            </c:ext>
          </c:extLst>
        </c:ser>
        <c:dLbls>
          <c:showLegendKey val="0"/>
          <c:showVal val="0"/>
          <c:showCatName val="0"/>
          <c:showSerName val="0"/>
          <c:showPercent val="0"/>
          <c:showBubbleSize val="0"/>
        </c:dLbls>
        <c:gapWidth val="150"/>
        <c:axId val="247452208"/>
        <c:axId val="247452600"/>
      </c:barChart>
      <c:catAx>
        <c:axId val="247452208"/>
        <c:scaling>
          <c:orientation val="minMax"/>
        </c:scaling>
        <c:delete val="0"/>
        <c:axPos val="b"/>
        <c:numFmt formatCode="General" sourceLinked="1"/>
        <c:majorTickMark val="none"/>
        <c:minorTickMark val="none"/>
        <c:tickLblPos val="nextTo"/>
        <c:crossAx val="247452600"/>
        <c:crosses val="autoZero"/>
        <c:auto val="1"/>
        <c:lblAlgn val="ctr"/>
        <c:lblOffset val="100"/>
        <c:noMultiLvlLbl val="0"/>
      </c:catAx>
      <c:valAx>
        <c:axId val="247452600"/>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247452208"/>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Trends in national risk of household poverty or social exclusion</a:t>
            </a:r>
          </a:p>
        </c:rich>
      </c:tx>
      <c:overlay val="0"/>
    </c:title>
    <c:autoTitleDeleted val="0"/>
    <c:plotArea>
      <c:layout/>
      <c:lineChart>
        <c:grouping val="standard"/>
        <c:varyColors val="0"/>
        <c:ser>
          <c:idx val="0"/>
          <c:order val="0"/>
          <c:tx>
            <c:strRef>
              <c:f>Sheet1!$B$1</c:f>
              <c:strCache>
                <c:ptCount val="1"/>
                <c:pt idx="0">
                  <c:v>Disabled (16-64)</c:v>
                </c:pt>
              </c:strCache>
            </c:strRef>
          </c:tx>
          <c:cat>
            <c:strRef>
              <c:f>Sheet1!$A$2:$A$6</c:f>
              <c:strCache>
                <c:ptCount val="5"/>
                <c:pt idx="0">
                  <c:v>2010*</c:v>
                </c:pt>
                <c:pt idx="1">
                  <c:v>2011</c:v>
                </c:pt>
                <c:pt idx="2">
                  <c:v>2012</c:v>
                </c:pt>
                <c:pt idx="3">
                  <c:v>2013</c:v>
                </c:pt>
                <c:pt idx="4">
                  <c:v>2014</c:v>
                </c:pt>
              </c:strCache>
            </c:strRef>
          </c:cat>
          <c:val>
            <c:numRef>
              <c:f>Sheet1!$B$2:$B$6</c:f>
              <c:numCache>
                <c:formatCode>General</c:formatCode>
                <c:ptCount val="5"/>
                <c:pt idx="1">
                  <c:v>32.700000000000003</c:v>
                </c:pt>
                <c:pt idx="2">
                  <c:v>39.200000000000003</c:v>
                </c:pt>
                <c:pt idx="3">
                  <c:v>39</c:v>
                </c:pt>
                <c:pt idx="4" formatCode="0.0">
                  <c:v>42.13</c:v>
                </c:pt>
              </c:numCache>
            </c:numRef>
          </c:val>
          <c:smooth val="0"/>
          <c:extLst>
            <c:ext xmlns:c16="http://schemas.microsoft.com/office/drawing/2014/chart" uri="{C3380CC4-5D6E-409C-BE32-E72D297353CC}">
              <c16:uniqueId val="{00000000-3083-4EF2-B42E-E23B8D2952B7}"/>
            </c:ext>
          </c:extLst>
        </c:ser>
        <c:ser>
          <c:idx val="1"/>
          <c:order val="1"/>
          <c:tx>
            <c:strRef>
              <c:f>Sheet1!$C$1</c:f>
              <c:strCache>
                <c:ptCount val="1"/>
                <c:pt idx="0">
                  <c:v>Non-disabled (16-64)</c:v>
                </c:pt>
              </c:strCache>
            </c:strRef>
          </c:tx>
          <c:cat>
            <c:strRef>
              <c:f>Sheet1!$A$2:$A$6</c:f>
              <c:strCache>
                <c:ptCount val="5"/>
                <c:pt idx="0">
                  <c:v>2010*</c:v>
                </c:pt>
                <c:pt idx="1">
                  <c:v>2011</c:v>
                </c:pt>
                <c:pt idx="2">
                  <c:v>2012</c:v>
                </c:pt>
                <c:pt idx="3">
                  <c:v>2013</c:v>
                </c:pt>
                <c:pt idx="4">
                  <c:v>2014</c:v>
                </c:pt>
              </c:strCache>
            </c:strRef>
          </c:cat>
          <c:val>
            <c:numRef>
              <c:f>Sheet1!$C$2:$C$6</c:f>
              <c:numCache>
                <c:formatCode>General</c:formatCode>
                <c:ptCount val="5"/>
                <c:pt idx="1">
                  <c:v>19</c:v>
                </c:pt>
                <c:pt idx="2">
                  <c:v>24</c:v>
                </c:pt>
                <c:pt idx="3">
                  <c:v>26.5</c:v>
                </c:pt>
                <c:pt idx="4" formatCode="0.0">
                  <c:v>26.16</c:v>
                </c:pt>
              </c:numCache>
            </c:numRef>
          </c:val>
          <c:smooth val="0"/>
          <c:extLst>
            <c:ext xmlns:c16="http://schemas.microsoft.com/office/drawing/2014/chart" uri="{C3380CC4-5D6E-409C-BE32-E72D297353CC}">
              <c16:uniqueId val="{00000001-3083-4EF2-B42E-E23B8D2952B7}"/>
            </c:ext>
          </c:extLst>
        </c:ser>
        <c:ser>
          <c:idx val="2"/>
          <c:order val="2"/>
          <c:tx>
            <c:strRef>
              <c:f>Sheet1!$D$1</c:f>
              <c:strCache>
                <c:ptCount val="1"/>
                <c:pt idx="0">
                  <c:v>Disabled (65+)</c:v>
                </c:pt>
              </c:strCache>
            </c:strRef>
          </c:tx>
          <c:cat>
            <c:strRef>
              <c:f>Sheet1!$A$2:$A$6</c:f>
              <c:strCache>
                <c:ptCount val="5"/>
                <c:pt idx="0">
                  <c:v>2010*</c:v>
                </c:pt>
                <c:pt idx="1">
                  <c:v>2011</c:v>
                </c:pt>
                <c:pt idx="2">
                  <c:v>2012</c:v>
                </c:pt>
                <c:pt idx="3">
                  <c:v>2013</c:v>
                </c:pt>
                <c:pt idx="4">
                  <c:v>2014</c:v>
                </c:pt>
              </c:strCache>
            </c:strRef>
          </c:cat>
          <c:val>
            <c:numRef>
              <c:f>Sheet1!$D$2:$D$6</c:f>
              <c:numCache>
                <c:formatCode>General</c:formatCode>
                <c:ptCount val="5"/>
                <c:pt idx="1">
                  <c:v>46.1</c:v>
                </c:pt>
                <c:pt idx="2">
                  <c:v>40.9</c:v>
                </c:pt>
                <c:pt idx="3">
                  <c:v>33.4</c:v>
                </c:pt>
                <c:pt idx="4" formatCode="0.0">
                  <c:v>32.51</c:v>
                </c:pt>
              </c:numCache>
            </c:numRef>
          </c:val>
          <c:smooth val="0"/>
          <c:extLst>
            <c:ext xmlns:c16="http://schemas.microsoft.com/office/drawing/2014/chart" uri="{C3380CC4-5D6E-409C-BE32-E72D297353CC}">
              <c16:uniqueId val="{00000002-3083-4EF2-B42E-E23B8D2952B7}"/>
            </c:ext>
          </c:extLst>
        </c:ser>
        <c:ser>
          <c:idx val="3"/>
          <c:order val="3"/>
          <c:tx>
            <c:strRef>
              <c:f>Sheet1!$E$1</c:f>
              <c:strCache>
                <c:ptCount val="1"/>
                <c:pt idx="0">
                  <c:v>Non-disabled (65+)</c:v>
                </c:pt>
              </c:strCache>
            </c:strRef>
          </c:tx>
          <c:cat>
            <c:strRef>
              <c:f>Sheet1!$A$2:$A$6</c:f>
              <c:strCache>
                <c:ptCount val="5"/>
                <c:pt idx="0">
                  <c:v>2010*</c:v>
                </c:pt>
                <c:pt idx="1">
                  <c:v>2011</c:v>
                </c:pt>
                <c:pt idx="2">
                  <c:v>2012</c:v>
                </c:pt>
                <c:pt idx="3">
                  <c:v>2013</c:v>
                </c:pt>
                <c:pt idx="4">
                  <c:v>2014</c:v>
                </c:pt>
              </c:strCache>
            </c:strRef>
          </c:cat>
          <c:val>
            <c:numRef>
              <c:f>Sheet1!$E$2:$E$6</c:f>
              <c:numCache>
                <c:formatCode>General</c:formatCode>
                <c:ptCount val="5"/>
                <c:pt idx="1">
                  <c:v>31.2</c:v>
                </c:pt>
                <c:pt idx="2">
                  <c:v>24</c:v>
                </c:pt>
                <c:pt idx="3">
                  <c:v>18.2</c:v>
                </c:pt>
                <c:pt idx="4" formatCode="0.0">
                  <c:v>21.85</c:v>
                </c:pt>
              </c:numCache>
            </c:numRef>
          </c:val>
          <c:smooth val="0"/>
          <c:extLst>
            <c:ext xmlns:c16="http://schemas.microsoft.com/office/drawing/2014/chart" uri="{C3380CC4-5D6E-409C-BE32-E72D297353CC}">
              <c16:uniqueId val="{00000003-3083-4EF2-B42E-E23B8D2952B7}"/>
            </c:ext>
          </c:extLst>
        </c:ser>
        <c:ser>
          <c:idx val="4"/>
          <c:order val="4"/>
          <c:tx>
            <c:strRef>
              <c:f>Sheet1!$F$1</c:f>
              <c:strCache>
                <c:ptCount val="1"/>
                <c:pt idx="0">
                  <c:v>EU average (all 16+)</c:v>
                </c:pt>
              </c:strCache>
            </c:strRef>
          </c:tx>
          <c:cat>
            <c:strRef>
              <c:f>Sheet1!$A$2:$A$6</c:f>
              <c:strCache>
                <c:ptCount val="5"/>
                <c:pt idx="0">
                  <c:v>2010*</c:v>
                </c:pt>
                <c:pt idx="1">
                  <c:v>2011</c:v>
                </c:pt>
                <c:pt idx="2">
                  <c:v>2012</c:v>
                </c:pt>
                <c:pt idx="3">
                  <c:v>2013</c:v>
                </c:pt>
                <c:pt idx="4">
                  <c:v>2014</c:v>
                </c:pt>
              </c:strCache>
            </c:strRef>
          </c:cat>
          <c:val>
            <c:numRef>
              <c:f>Sheet1!$F$2:$F$6</c:f>
              <c:numCache>
                <c:formatCode>General</c:formatCode>
                <c:ptCount val="5"/>
                <c:pt idx="0">
                  <c:v>22.7</c:v>
                </c:pt>
                <c:pt idx="1">
                  <c:v>23.6</c:v>
                </c:pt>
                <c:pt idx="2">
                  <c:v>24.1</c:v>
                </c:pt>
                <c:pt idx="3">
                  <c:v>23.8</c:v>
                </c:pt>
                <c:pt idx="4" formatCode="0.0">
                  <c:v>23.8</c:v>
                </c:pt>
              </c:numCache>
            </c:numRef>
          </c:val>
          <c:smooth val="0"/>
          <c:extLst>
            <c:ext xmlns:c16="http://schemas.microsoft.com/office/drawing/2014/chart" uri="{C3380CC4-5D6E-409C-BE32-E72D297353CC}">
              <c16:uniqueId val="{00000004-3083-4EF2-B42E-E23B8D2952B7}"/>
            </c:ext>
          </c:extLst>
        </c:ser>
        <c:dLbls>
          <c:showLegendKey val="0"/>
          <c:showVal val="0"/>
          <c:showCatName val="0"/>
          <c:showSerName val="0"/>
          <c:showPercent val="0"/>
          <c:showBubbleSize val="0"/>
        </c:dLbls>
        <c:marker val="1"/>
        <c:smooth val="0"/>
        <c:axId val="248147184"/>
        <c:axId val="248147576"/>
      </c:lineChart>
      <c:catAx>
        <c:axId val="248147184"/>
        <c:scaling>
          <c:orientation val="minMax"/>
        </c:scaling>
        <c:delete val="0"/>
        <c:axPos val="b"/>
        <c:numFmt formatCode="General" sourceLinked="1"/>
        <c:majorTickMark val="none"/>
        <c:minorTickMark val="none"/>
        <c:tickLblPos val="nextTo"/>
        <c:crossAx val="248147576"/>
        <c:crosses val="autoZero"/>
        <c:auto val="1"/>
        <c:lblAlgn val="ctr"/>
        <c:lblOffset val="100"/>
        <c:noMultiLvlLbl val="0"/>
      </c:catAx>
      <c:valAx>
        <c:axId val="248147576"/>
        <c:scaling>
          <c:orientation val="minMax"/>
        </c:scaling>
        <c:delete val="0"/>
        <c:axPos val="l"/>
        <c:majorGridlines/>
        <c:title>
          <c:tx>
            <c:rich>
              <a:bodyPr/>
              <a:lstStyle/>
              <a:p>
                <a:pPr>
                  <a:defRPr/>
                </a:pPr>
                <a:r>
                  <a:rPr lang="en-GB"/>
                  <a:t>%</a:t>
                </a:r>
              </a:p>
            </c:rich>
          </c:tx>
          <c:overlay val="0"/>
        </c:title>
        <c:numFmt formatCode="General" sourceLinked="1"/>
        <c:majorTickMark val="none"/>
        <c:minorTickMark val="none"/>
        <c:tickLblPos val="nextTo"/>
        <c:crossAx val="248147184"/>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en-GB" sz="1600"/>
              <a:t>Overview of employment rates</a:t>
            </a:r>
          </a:p>
        </c:rich>
      </c:tx>
      <c:overlay val="0"/>
    </c:title>
    <c:autoTitleDeleted val="0"/>
    <c:plotArea>
      <c:layout/>
      <c:barChart>
        <c:barDir val="col"/>
        <c:grouping val="clustered"/>
        <c:varyColors val="0"/>
        <c:ser>
          <c:idx val="0"/>
          <c:order val="0"/>
          <c:tx>
            <c:strRef>
              <c:f>Sheet1!$B$1</c:f>
              <c:strCache>
                <c:ptCount val="1"/>
                <c:pt idx="0">
                  <c:v>EU average</c:v>
                </c:pt>
              </c:strCache>
            </c:strRef>
          </c:tx>
          <c:invertIfNegative val="0"/>
          <c:cat>
            <c:strRef>
              <c:f>Sheet1!$A$2:$A$8</c:f>
              <c:strCache>
                <c:ptCount val="7"/>
                <c:pt idx="0">
                  <c:v>No disability</c:v>
                </c:pt>
                <c:pt idx="1">
                  <c:v>Moderate disability</c:v>
                </c:pt>
                <c:pt idx="2">
                  <c:v>Severe disability</c:v>
                </c:pt>
                <c:pt idx="3">
                  <c:v>Disabled women</c:v>
                </c:pt>
                <c:pt idx="4">
                  <c:v>Disabled men</c:v>
                </c:pt>
                <c:pt idx="5">
                  <c:v>Non-disabled women</c:v>
                </c:pt>
                <c:pt idx="6">
                  <c:v>Non-disabled men</c:v>
                </c:pt>
              </c:strCache>
            </c:strRef>
          </c:cat>
          <c:val>
            <c:numRef>
              <c:f>Sheet1!$B$2:$B$8</c:f>
              <c:numCache>
                <c:formatCode>0.0</c:formatCode>
                <c:ptCount val="7"/>
                <c:pt idx="0">
                  <c:v>72.52</c:v>
                </c:pt>
                <c:pt idx="1">
                  <c:v>56.74</c:v>
                </c:pt>
                <c:pt idx="2">
                  <c:v>28.3</c:v>
                </c:pt>
                <c:pt idx="3">
                  <c:v>45.67</c:v>
                </c:pt>
                <c:pt idx="4">
                  <c:v>52.32</c:v>
                </c:pt>
                <c:pt idx="5">
                  <c:v>66.66</c:v>
                </c:pt>
                <c:pt idx="6">
                  <c:v>78.34</c:v>
                </c:pt>
              </c:numCache>
            </c:numRef>
          </c:val>
          <c:extLst>
            <c:ext xmlns:c16="http://schemas.microsoft.com/office/drawing/2014/chart" uri="{C3380CC4-5D6E-409C-BE32-E72D297353CC}">
              <c16:uniqueId val="{00000000-0B61-493D-B3E5-29686BC8C840}"/>
            </c:ext>
          </c:extLst>
        </c:ser>
        <c:ser>
          <c:idx val="1"/>
          <c:order val="1"/>
          <c:tx>
            <c:strRef>
              <c:f>Sheet1!$C$1</c:f>
              <c:strCache>
                <c:ptCount val="1"/>
                <c:pt idx="0">
                  <c:v>National average</c:v>
                </c:pt>
              </c:strCache>
            </c:strRef>
          </c:tx>
          <c:invertIfNegative val="0"/>
          <c:cat>
            <c:strRef>
              <c:f>Sheet1!$A$2:$A$8</c:f>
              <c:strCache>
                <c:ptCount val="7"/>
                <c:pt idx="0">
                  <c:v>No disability</c:v>
                </c:pt>
                <c:pt idx="1">
                  <c:v>Moderate disability</c:v>
                </c:pt>
                <c:pt idx="2">
                  <c:v>Severe disability</c:v>
                </c:pt>
                <c:pt idx="3">
                  <c:v>Disabled women</c:v>
                </c:pt>
                <c:pt idx="4">
                  <c:v>Disabled men</c:v>
                </c:pt>
                <c:pt idx="5">
                  <c:v>Non-disabled women</c:v>
                </c:pt>
                <c:pt idx="6">
                  <c:v>Non-disabled men</c:v>
                </c:pt>
              </c:strCache>
            </c:strRef>
          </c:cat>
          <c:val>
            <c:numRef>
              <c:f>Sheet1!$C$2:$C$8</c:f>
              <c:numCache>
                <c:formatCode>0.0</c:formatCode>
                <c:ptCount val="7"/>
                <c:pt idx="0">
                  <c:v>66.44</c:v>
                </c:pt>
                <c:pt idx="1">
                  <c:v>51.63</c:v>
                </c:pt>
                <c:pt idx="2">
                  <c:v>32.950000000000003</c:v>
                </c:pt>
                <c:pt idx="3">
                  <c:v>38.950000000000003</c:v>
                </c:pt>
                <c:pt idx="4">
                  <c:v>51.08</c:v>
                </c:pt>
                <c:pt idx="5">
                  <c:v>63.79</c:v>
                </c:pt>
                <c:pt idx="6">
                  <c:v>69.34</c:v>
                </c:pt>
              </c:numCache>
            </c:numRef>
          </c:val>
          <c:extLst>
            <c:ext xmlns:c16="http://schemas.microsoft.com/office/drawing/2014/chart" uri="{C3380CC4-5D6E-409C-BE32-E72D297353CC}">
              <c16:uniqueId val="{00000001-0B61-493D-B3E5-29686BC8C840}"/>
            </c:ext>
          </c:extLst>
        </c:ser>
        <c:dLbls>
          <c:showLegendKey val="0"/>
          <c:showVal val="0"/>
          <c:showCatName val="0"/>
          <c:showSerName val="0"/>
          <c:showPercent val="0"/>
          <c:showBubbleSize val="0"/>
        </c:dLbls>
        <c:gapWidth val="150"/>
        <c:axId val="137962528"/>
        <c:axId val="137963704"/>
      </c:barChart>
      <c:catAx>
        <c:axId val="137962528"/>
        <c:scaling>
          <c:orientation val="minMax"/>
        </c:scaling>
        <c:delete val="0"/>
        <c:axPos val="b"/>
        <c:numFmt formatCode="General" sourceLinked="1"/>
        <c:majorTickMark val="none"/>
        <c:minorTickMark val="none"/>
        <c:tickLblPos val="nextTo"/>
        <c:crossAx val="137963704"/>
        <c:crosses val="autoZero"/>
        <c:auto val="1"/>
        <c:lblAlgn val="ctr"/>
        <c:lblOffset val="100"/>
        <c:noMultiLvlLbl val="0"/>
      </c:catAx>
      <c:valAx>
        <c:axId val="137963704"/>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137962528"/>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600"/>
              <a:t>Employment rates by age group</a:t>
            </a:r>
          </a:p>
        </c:rich>
      </c:tx>
      <c:layout>
        <c:manualLayout>
          <c:xMode val="edge"/>
          <c:yMode val="edge"/>
          <c:x val="0.23232505421773497"/>
          <c:y val="2.4509803921568627E-2"/>
        </c:manualLayout>
      </c:layout>
      <c:overlay val="0"/>
    </c:title>
    <c:autoTitleDeleted val="0"/>
    <c:plotArea>
      <c:layout/>
      <c:lineChart>
        <c:grouping val="standard"/>
        <c:varyColors val="0"/>
        <c:ser>
          <c:idx val="0"/>
          <c:order val="0"/>
          <c:tx>
            <c:strRef>
              <c:f>Sheet1!$B$1</c:f>
              <c:strCache>
                <c:ptCount val="1"/>
                <c:pt idx="0">
                  <c:v>EU (disabled)</c:v>
                </c:pt>
              </c:strCache>
            </c:strRef>
          </c:tx>
          <c:cat>
            <c:strRef>
              <c:f>Sheet1!$A$2:$A$6</c:f>
              <c:strCache>
                <c:ptCount val="5"/>
                <c:pt idx="0">
                  <c:v>age 16-24</c:v>
                </c:pt>
                <c:pt idx="1">
                  <c:v>age 25-34</c:v>
                </c:pt>
                <c:pt idx="2">
                  <c:v>age 35-44</c:v>
                </c:pt>
                <c:pt idx="3">
                  <c:v>age 45-54</c:v>
                </c:pt>
                <c:pt idx="4">
                  <c:v>age 55-64</c:v>
                </c:pt>
              </c:strCache>
            </c:strRef>
          </c:cat>
          <c:val>
            <c:numRef>
              <c:f>Sheet1!$B$2:$B$6</c:f>
              <c:numCache>
                <c:formatCode>0.0</c:formatCode>
                <c:ptCount val="5"/>
                <c:pt idx="0">
                  <c:v>22.829408000000001</c:v>
                </c:pt>
                <c:pt idx="1">
                  <c:v>58.028265999999995</c:v>
                </c:pt>
                <c:pt idx="2">
                  <c:v>61.181399999999996</c:v>
                </c:pt>
                <c:pt idx="3">
                  <c:v>58.670228000000002</c:v>
                </c:pt>
                <c:pt idx="4">
                  <c:v>34.479998999999999</c:v>
                </c:pt>
              </c:numCache>
            </c:numRef>
          </c:val>
          <c:smooth val="0"/>
          <c:extLst>
            <c:ext xmlns:c16="http://schemas.microsoft.com/office/drawing/2014/chart" uri="{C3380CC4-5D6E-409C-BE32-E72D297353CC}">
              <c16:uniqueId val="{00000000-66AC-43D8-ABC6-93AF03B0EAD0}"/>
            </c:ext>
          </c:extLst>
        </c:ser>
        <c:ser>
          <c:idx val="1"/>
          <c:order val="1"/>
          <c:tx>
            <c:strRef>
              <c:f>Sheet1!$C$1</c:f>
              <c:strCache>
                <c:ptCount val="1"/>
                <c:pt idx="0">
                  <c:v>EU average (non-disabled)</c:v>
                </c:pt>
              </c:strCache>
            </c:strRef>
          </c:tx>
          <c:cat>
            <c:strRef>
              <c:f>Sheet1!$A$2:$A$6</c:f>
              <c:strCache>
                <c:ptCount val="5"/>
                <c:pt idx="0">
                  <c:v>age 16-24</c:v>
                </c:pt>
                <c:pt idx="1">
                  <c:v>age 25-34</c:v>
                </c:pt>
                <c:pt idx="2">
                  <c:v>age 35-44</c:v>
                </c:pt>
                <c:pt idx="3">
                  <c:v>age 45-54</c:v>
                </c:pt>
                <c:pt idx="4">
                  <c:v>age 55-64</c:v>
                </c:pt>
              </c:strCache>
            </c:strRef>
          </c:cat>
          <c:val>
            <c:numRef>
              <c:f>Sheet1!$C$2:$C$6</c:f>
              <c:numCache>
                <c:formatCode>0.0</c:formatCode>
                <c:ptCount val="5"/>
                <c:pt idx="0">
                  <c:v>29.503908000000003</c:v>
                </c:pt>
                <c:pt idx="1">
                  <c:v>74.736654999999999</c:v>
                </c:pt>
                <c:pt idx="2">
                  <c:v>83.084423000000001</c:v>
                </c:pt>
                <c:pt idx="3">
                  <c:v>83.298991000000001</c:v>
                </c:pt>
                <c:pt idx="4">
                  <c:v>58.669817000000002</c:v>
                </c:pt>
              </c:numCache>
            </c:numRef>
          </c:val>
          <c:smooth val="0"/>
          <c:extLst>
            <c:ext xmlns:c16="http://schemas.microsoft.com/office/drawing/2014/chart" uri="{C3380CC4-5D6E-409C-BE32-E72D297353CC}">
              <c16:uniqueId val="{00000001-66AC-43D8-ABC6-93AF03B0EAD0}"/>
            </c:ext>
          </c:extLst>
        </c:ser>
        <c:ser>
          <c:idx val="2"/>
          <c:order val="2"/>
          <c:tx>
            <c:strRef>
              <c:f>Sheet1!$D$1</c:f>
              <c:strCache>
                <c:ptCount val="1"/>
                <c:pt idx="0">
                  <c:v>National (disabled)</c:v>
                </c:pt>
              </c:strCache>
            </c:strRef>
          </c:tx>
          <c:cat>
            <c:strRef>
              <c:f>Sheet1!$A$2:$A$6</c:f>
              <c:strCache>
                <c:ptCount val="5"/>
                <c:pt idx="0">
                  <c:v>age 16-24</c:v>
                </c:pt>
                <c:pt idx="1">
                  <c:v>age 25-34</c:v>
                </c:pt>
                <c:pt idx="2">
                  <c:v>age 35-44</c:v>
                </c:pt>
                <c:pt idx="3">
                  <c:v>age 45-54</c:v>
                </c:pt>
                <c:pt idx="4">
                  <c:v>age 55-64</c:v>
                </c:pt>
              </c:strCache>
            </c:strRef>
          </c:cat>
          <c:val>
            <c:numRef>
              <c:f>Sheet1!$D$2:$D$6</c:f>
              <c:numCache>
                <c:formatCode>0.0</c:formatCode>
                <c:ptCount val="5"/>
                <c:pt idx="0">
                  <c:v>9.1016130000000004</c:v>
                </c:pt>
                <c:pt idx="1">
                  <c:v>64.170614999999998</c:v>
                </c:pt>
                <c:pt idx="2">
                  <c:v>57.754849</c:v>
                </c:pt>
                <c:pt idx="3">
                  <c:v>51.111060999999999</c:v>
                </c:pt>
                <c:pt idx="4">
                  <c:v>31.654647000000004</c:v>
                </c:pt>
              </c:numCache>
            </c:numRef>
          </c:val>
          <c:smooth val="0"/>
          <c:extLst>
            <c:ext xmlns:c16="http://schemas.microsoft.com/office/drawing/2014/chart" uri="{C3380CC4-5D6E-409C-BE32-E72D297353CC}">
              <c16:uniqueId val="{00000002-66AC-43D8-ABC6-93AF03B0EAD0}"/>
            </c:ext>
          </c:extLst>
        </c:ser>
        <c:ser>
          <c:idx val="3"/>
          <c:order val="3"/>
          <c:tx>
            <c:strRef>
              <c:f>Sheet1!$E$1</c:f>
              <c:strCache>
                <c:ptCount val="1"/>
                <c:pt idx="0">
                  <c:v>National (non-disabled)</c:v>
                </c:pt>
              </c:strCache>
            </c:strRef>
          </c:tx>
          <c:cat>
            <c:strRef>
              <c:f>Sheet1!$A$2:$A$6</c:f>
              <c:strCache>
                <c:ptCount val="5"/>
                <c:pt idx="0">
                  <c:v>age 16-24</c:v>
                </c:pt>
                <c:pt idx="1">
                  <c:v>age 25-34</c:v>
                </c:pt>
                <c:pt idx="2">
                  <c:v>age 35-44</c:v>
                </c:pt>
                <c:pt idx="3">
                  <c:v>age 45-54</c:v>
                </c:pt>
                <c:pt idx="4">
                  <c:v>age 55-64</c:v>
                </c:pt>
              </c:strCache>
            </c:strRef>
          </c:cat>
          <c:val>
            <c:numRef>
              <c:f>Sheet1!$E$2:$E$6</c:f>
              <c:numCache>
                <c:formatCode>0.0</c:formatCode>
                <c:ptCount val="5"/>
                <c:pt idx="0">
                  <c:v>21.243811000000001</c:v>
                </c:pt>
                <c:pt idx="1">
                  <c:v>74.958842000000004</c:v>
                </c:pt>
                <c:pt idx="2">
                  <c:v>81.110668000000004</c:v>
                </c:pt>
                <c:pt idx="3">
                  <c:v>74.232906999999997</c:v>
                </c:pt>
                <c:pt idx="4">
                  <c:v>50.285063999999998</c:v>
                </c:pt>
              </c:numCache>
            </c:numRef>
          </c:val>
          <c:smooth val="0"/>
          <c:extLst>
            <c:ext xmlns:c16="http://schemas.microsoft.com/office/drawing/2014/chart" uri="{C3380CC4-5D6E-409C-BE32-E72D297353CC}">
              <c16:uniqueId val="{00000003-66AC-43D8-ABC6-93AF03B0EAD0}"/>
            </c:ext>
          </c:extLst>
        </c:ser>
        <c:dLbls>
          <c:showLegendKey val="0"/>
          <c:showVal val="0"/>
          <c:showCatName val="0"/>
          <c:showSerName val="0"/>
          <c:showPercent val="0"/>
          <c:showBubbleSize val="0"/>
        </c:dLbls>
        <c:marker val="1"/>
        <c:smooth val="0"/>
        <c:axId val="139943512"/>
        <c:axId val="139943904"/>
      </c:lineChart>
      <c:catAx>
        <c:axId val="139943512"/>
        <c:scaling>
          <c:orientation val="minMax"/>
        </c:scaling>
        <c:delete val="0"/>
        <c:axPos val="b"/>
        <c:numFmt formatCode="General" sourceLinked="1"/>
        <c:majorTickMark val="none"/>
        <c:minorTickMark val="none"/>
        <c:tickLblPos val="nextTo"/>
        <c:crossAx val="139943904"/>
        <c:crosses val="autoZero"/>
        <c:auto val="1"/>
        <c:lblAlgn val="ctr"/>
        <c:lblOffset val="100"/>
        <c:noMultiLvlLbl val="0"/>
      </c:catAx>
      <c:valAx>
        <c:axId val="139943904"/>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139943512"/>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600"/>
              <a:t>National</a:t>
            </a:r>
            <a:r>
              <a:rPr lang="en-GB" sz="1600" baseline="0"/>
              <a:t> t</a:t>
            </a:r>
            <a:r>
              <a:rPr lang="en-GB" sz="1600"/>
              <a:t>rends in employment rates</a:t>
            </a:r>
          </a:p>
        </c:rich>
      </c:tx>
      <c:overlay val="0"/>
    </c:title>
    <c:autoTitleDeleted val="0"/>
    <c:plotArea>
      <c:layout/>
      <c:lineChart>
        <c:grouping val="standard"/>
        <c:varyColors val="0"/>
        <c:ser>
          <c:idx val="0"/>
          <c:order val="0"/>
          <c:tx>
            <c:strRef>
              <c:f>Sheet1!$B$1</c:f>
              <c:strCache>
                <c:ptCount val="1"/>
                <c:pt idx="0">
                  <c:v>Disabled women</c:v>
                </c:pt>
              </c:strCache>
            </c:strRef>
          </c:tx>
          <c:cat>
            <c:strRef>
              <c:f>Sheet1!$A$2:$A$8</c:f>
              <c:strCache>
                <c:ptCount val="7"/>
                <c:pt idx="0">
                  <c:v>2008</c:v>
                </c:pt>
                <c:pt idx="1">
                  <c:v>2009</c:v>
                </c:pt>
                <c:pt idx="2">
                  <c:v>2010*</c:v>
                </c:pt>
                <c:pt idx="3">
                  <c:v>2011</c:v>
                </c:pt>
                <c:pt idx="4">
                  <c:v>2012</c:v>
                </c:pt>
                <c:pt idx="5">
                  <c:v>2013</c:v>
                </c:pt>
                <c:pt idx="6">
                  <c:v>2014</c:v>
                </c:pt>
              </c:strCache>
            </c:strRef>
          </c:cat>
          <c:val>
            <c:numRef>
              <c:f>Sheet1!$B$2:$B$8</c:f>
              <c:numCache>
                <c:formatCode>General</c:formatCode>
                <c:ptCount val="7"/>
                <c:pt idx="0">
                  <c:v>44.5</c:v>
                </c:pt>
                <c:pt idx="1">
                  <c:v>46.5</c:v>
                </c:pt>
                <c:pt idx="3">
                  <c:v>48.6</c:v>
                </c:pt>
                <c:pt idx="4">
                  <c:v>46.4</c:v>
                </c:pt>
                <c:pt idx="5">
                  <c:v>40.700000000000003</c:v>
                </c:pt>
                <c:pt idx="6" formatCode="0.0">
                  <c:v>38.950000000000003</c:v>
                </c:pt>
              </c:numCache>
            </c:numRef>
          </c:val>
          <c:smooth val="0"/>
          <c:extLst>
            <c:ext xmlns:c16="http://schemas.microsoft.com/office/drawing/2014/chart" uri="{C3380CC4-5D6E-409C-BE32-E72D297353CC}">
              <c16:uniqueId val="{00000000-60C8-42A0-8D3D-E2D51E3FDD24}"/>
            </c:ext>
          </c:extLst>
        </c:ser>
        <c:ser>
          <c:idx val="1"/>
          <c:order val="1"/>
          <c:tx>
            <c:strRef>
              <c:f>Sheet1!$C$1</c:f>
              <c:strCache>
                <c:ptCount val="1"/>
                <c:pt idx="0">
                  <c:v>Disabled men</c:v>
                </c:pt>
              </c:strCache>
            </c:strRef>
          </c:tx>
          <c:cat>
            <c:strRef>
              <c:f>Sheet1!$A$2:$A$8</c:f>
              <c:strCache>
                <c:ptCount val="7"/>
                <c:pt idx="0">
                  <c:v>2008</c:v>
                </c:pt>
                <c:pt idx="1">
                  <c:v>2009</c:v>
                </c:pt>
                <c:pt idx="2">
                  <c:v>2010*</c:v>
                </c:pt>
                <c:pt idx="3">
                  <c:v>2011</c:v>
                </c:pt>
                <c:pt idx="4">
                  <c:v>2012</c:v>
                </c:pt>
                <c:pt idx="5">
                  <c:v>2013</c:v>
                </c:pt>
                <c:pt idx="6">
                  <c:v>2014</c:v>
                </c:pt>
              </c:strCache>
            </c:strRef>
          </c:cat>
          <c:val>
            <c:numRef>
              <c:f>Sheet1!$C$2:$C$8</c:f>
              <c:numCache>
                <c:formatCode>General</c:formatCode>
                <c:ptCount val="7"/>
                <c:pt idx="0">
                  <c:v>65.2</c:v>
                </c:pt>
                <c:pt idx="1">
                  <c:v>59.9</c:v>
                </c:pt>
                <c:pt idx="3">
                  <c:v>62.5</c:v>
                </c:pt>
                <c:pt idx="4">
                  <c:v>54</c:v>
                </c:pt>
                <c:pt idx="5">
                  <c:v>49.5</c:v>
                </c:pt>
                <c:pt idx="6" formatCode="0.0">
                  <c:v>51.08</c:v>
                </c:pt>
              </c:numCache>
            </c:numRef>
          </c:val>
          <c:smooth val="0"/>
          <c:extLst>
            <c:ext xmlns:c16="http://schemas.microsoft.com/office/drawing/2014/chart" uri="{C3380CC4-5D6E-409C-BE32-E72D297353CC}">
              <c16:uniqueId val="{00000001-60C8-42A0-8D3D-E2D51E3FDD24}"/>
            </c:ext>
          </c:extLst>
        </c:ser>
        <c:ser>
          <c:idx val="2"/>
          <c:order val="2"/>
          <c:tx>
            <c:strRef>
              <c:f>Sheet1!$D$1</c:f>
              <c:strCache>
                <c:ptCount val="1"/>
                <c:pt idx="0">
                  <c:v>Non-disabled women</c:v>
                </c:pt>
              </c:strCache>
            </c:strRef>
          </c:tx>
          <c:cat>
            <c:strRef>
              <c:f>Sheet1!$A$2:$A$8</c:f>
              <c:strCache>
                <c:ptCount val="7"/>
                <c:pt idx="0">
                  <c:v>2008</c:v>
                </c:pt>
                <c:pt idx="1">
                  <c:v>2009</c:v>
                </c:pt>
                <c:pt idx="2">
                  <c:v>2010*</c:v>
                </c:pt>
                <c:pt idx="3">
                  <c:v>2011</c:v>
                </c:pt>
                <c:pt idx="4">
                  <c:v>2012</c:v>
                </c:pt>
                <c:pt idx="5">
                  <c:v>2013</c:v>
                </c:pt>
                <c:pt idx="6">
                  <c:v>2014</c:v>
                </c:pt>
              </c:strCache>
            </c:strRef>
          </c:cat>
          <c:val>
            <c:numRef>
              <c:f>Sheet1!$D$2:$D$8</c:f>
              <c:numCache>
                <c:formatCode>General</c:formatCode>
                <c:ptCount val="7"/>
                <c:pt idx="0">
                  <c:v>67.5</c:v>
                </c:pt>
                <c:pt idx="1">
                  <c:v>66.5</c:v>
                </c:pt>
                <c:pt idx="3">
                  <c:v>69.599999999999994</c:v>
                </c:pt>
                <c:pt idx="4">
                  <c:v>67.2</c:v>
                </c:pt>
                <c:pt idx="5">
                  <c:v>62.2</c:v>
                </c:pt>
                <c:pt idx="6" formatCode="0.0">
                  <c:v>63.79</c:v>
                </c:pt>
              </c:numCache>
            </c:numRef>
          </c:val>
          <c:smooth val="0"/>
          <c:extLst>
            <c:ext xmlns:c16="http://schemas.microsoft.com/office/drawing/2014/chart" uri="{C3380CC4-5D6E-409C-BE32-E72D297353CC}">
              <c16:uniqueId val="{00000002-60C8-42A0-8D3D-E2D51E3FDD24}"/>
            </c:ext>
          </c:extLst>
        </c:ser>
        <c:ser>
          <c:idx val="3"/>
          <c:order val="3"/>
          <c:tx>
            <c:strRef>
              <c:f>Sheet1!$E$1</c:f>
              <c:strCache>
                <c:ptCount val="1"/>
                <c:pt idx="0">
                  <c:v>Non-disabled men</c:v>
                </c:pt>
              </c:strCache>
            </c:strRef>
          </c:tx>
          <c:cat>
            <c:strRef>
              <c:f>Sheet1!$A$2:$A$8</c:f>
              <c:strCache>
                <c:ptCount val="7"/>
                <c:pt idx="0">
                  <c:v>2008</c:v>
                </c:pt>
                <c:pt idx="1">
                  <c:v>2009</c:v>
                </c:pt>
                <c:pt idx="2">
                  <c:v>2010*</c:v>
                </c:pt>
                <c:pt idx="3">
                  <c:v>2011</c:v>
                </c:pt>
                <c:pt idx="4">
                  <c:v>2012</c:v>
                </c:pt>
                <c:pt idx="5">
                  <c:v>2013</c:v>
                </c:pt>
                <c:pt idx="6">
                  <c:v>2014</c:v>
                </c:pt>
              </c:strCache>
            </c:strRef>
          </c:cat>
          <c:val>
            <c:numRef>
              <c:f>Sheet1!$E$2:$E$8</c:f>
              <c:numCache>
                <c:formatCode>General</c:formatCode>
                <c:ptCount val="7"/>
                <c:pt idx="0">
                  <c:v>82.2</c:v>
                </c:pt>
                <c:pt idx="1">
                  <c:v>79.900000000000006</c:v>
                </c:pt>
                <c:pt idx="3">
                  <c:v>79.599999999999994</c:v>
                </c:pt>
                <c:pt idx="4">
                  <c:v>75.599999999999994</c:v>
                </c:pt>
                <c:pt idx="5">
                  <c:v>69</c:v>
                </c:pt>
                <c:pt idx="6" formatCode="0.0">
                  <c:v>69.34</c:v>
                </c:pt>
              </c:numCache>
            </c:numRef>
          </c:val>
          <c:smooth val="0"/>
          <c:extLst>
            <c:ext xmlns:c16="http://schemas.microsoft.com/office/drawing/2014/chart" uri="{C3380CC4-5D6E-409C-BE32-E72D297353CC}">
              <c16:uniqueId val="{00000003-60C8-42A0-8D3D-E2D51E3FDD24}"/>
            </c:ext>
          </c:extLst>
        </c:ser>
        <c:ser>
          <c:idx val="4"/>
          <c:order val="4"/>
          <c:tx>
            <c:strRef>
              <c:f>Sheet1!$F$1</c:f>
              <c:strCache>
                <c:ptCount val="1"/>
                <c:pt idx="0">
                  <c:v>EU average (total)</c:v>
                </c:pt>
              </c:strCache>
            </c:strRef>
          </c:tx>
          <c:cat>
            <c:strRef>
              <c:f>Sheet1!$A$2:$A$8</c:f>
              <c:strCache>
                <c:ptCount val="7"/>
                <c:pt idx="0">
                  <c:v>2008</c:v>
                </c:pt>
                <c:pt idx="1">
                  <c:v>2009</c:v>
                </c:pt>
                <c:pt idx="2">
                  <c:v>2010*</c:v>
                </c:pt>
                <c:pt idx="3">
                  <c:v>2011</c:v>
                </c:pt>
                <c:pt idx="4">
                  <c:v>2012</c:v>
                </c:pt>
                <c:pt idx="5">
                  <c:v>2013</c:v>
                </c:pt>
                <c:pt idx="6">
                  <c:v>2014</c:v>
                </c:pt>
              </c:strCache>
            </c:strRef>
          </c:cat>
          <c:val>
            <c:numRef>
              <c:f>Sheet1!$F$2:$F$8</c:f>
              <c:numCache>
                <c:formatCode>General</c:formatCode>
                <c:ptCount val="7"/>
                <c:pt idx="0">
                  <c:v>68.7</c:v>
                </c:pt>
                <c:pt idx="1">
                  <c:v>67.599999999999994</c:v>
                </c:pt>
                <c:pt idx="2">
                  <c:v>67.2</c:v>
                </c:pt>
                <c:pt idx="3">
                  <c:v>67.2</c:v>
                </c:pt>
                <c:pt idx="4">
                  <c:v>67</c:v>
                </c:pt>
                <c:pt idx="5">
                  <c:v>66.900000000000006</c:v>
                </c:pt>
                <c:pt idx="6" formatCode="0.0">
                  <c:v>67.8</c:v>
                </c:pt>
              </c:numCache>
            </c:numRef>
          </c:val>
          <c:smooth val="0"/>
          <c:extLst>
            <c:ext xmlns:c16="http://schemas.microsoft.com/office/drawing/2014/chart" uri="{C3380CC4-5D6E-409C-BE32-E72D297353CC}">
              <c16:uniqueId val="{00000004-60C8-42A0-8D3D-E2D51E3FDD24}"/>
            </c:ext>
          </c:extLst>
        </c:ser>
        <c:dLbls>
          <c:showLegendKey val="0"/>
          <c:showVal val="0"/>
          <c:showCatName val="0"/>
          <c:showSerName val="0"/>
          <c:showPercent val="0"/>
          <c:showBubbleSize val="0"/>
        </c:dLbls>
        <c:marker val="1"/>
        <c:smooth val="0"/>
        <c:axId val="139945080"/>
        <c:axId val="139945472"/>
      </c:lineChart>
      <c:catAx>
        <c:axId val="139945080"/>
        <c:scaling>
          <c:orientation val="minMax"/>
        </c:scaling>
        <c:delete val="0"/>
        <c:axPos val="b"/>
        <c:numFmt formatCode="General" sourceLinked="1"/>
        <c:majorTickMark val="none"/>
        <c:minorTickMark val="none"/>
        <c:tickLblPos val="nextTo"/>
        <c:crossAx val="139945472"/>
        <c:crosses val="autoZero"/>
        <c:auto val="1"/>
        <c:lblAlgn val="ctr"/>
        <c:lblOffset val="100"/>
        <c:noMultiLvlLbl val="0"/>
      </c:catAx>
      <c:valAx>
        <c:axId val="139945472"/>
        <c:scaling>
          <c:orientation val="minMax"/>
        </c:scaling>
        <c:delete val="0"/>
        <c:axPos val="l"/>
        <c:majorGridlines/>
        <c:title>
          <c:tx>
            <c:rich>
              <a:bodyPr/>
              <a:lstStyle/>
              <a:p>
                <a:pPr>
                  <a:defRPr/>
                </a:pPr>
                <a:r>
                  <a:rPr lang="en-GB"/>
                  <a:t>%</a:t>
                </a:r>
              </a:p>
            </c:rich>
          </c:tx>
          <c:overlay val="0"/>
        </c:title>
        <c:numFmt formatCode="General" sourceLinked="1"/>
        <c:majorTickMark val="none"/>
        <c:minorTickMark val="none"/>
        <c:tickLblPos val="nextTo"/>
        <c:crossAx val="139945080"/>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en-GB" sz="1600"/>
              <a:t>Overview of unemployment rates</a:t>
            </a:r>
          </a:p>
        </c:rich>
      </c:tx>
      <c:overlay val="0"/>
    </c:title>
    <c:autoTitleDeleted val="0"/>
    <c:plotArea>
      <c:layout/>
      <c:barChart>
        <c:barDir val="col"/>
        <c:grouping val="clustered"/>
        <c:varyColors val="0"/>
        <c:ser>
          <c:idx val="0"/>
          <c:order val="0"/>
          <c:tx>
            <c:strRef>
              <c:f>Sheet1!$B$1</c:f>
              <c:strCache>
                <c:ptCount val="1"/>
                <c:pt idx="0">
                  <c:v>EU average</c:v>
                </c:pt>
              </c:strCache>
            </c:strRef>
          </c:tx>
          <c:invertIfNegative val="0"/>
          <c:cat>
            <c:strRef>
              <c:f>Sheet1!$A$2:$A$5</c:f>
              <c:strCache>
                <c:ptCount val="4"/>
                <c:pt idx="0">
                  <c:v>Disabled women</c:v>
                </c:pt>
                <c:pt idx="1">
                  <c:v>Disabled men</c:v>
                </c:pt>
                <c:pt idx="2">
                  <c:v>Non-disabled women</c:v>
                </c:pt>
                <c:pt idx="3">
                  <c:v>Non-disabled men</c:v>
                </c:pt>
              </c:strCache>
            </c:strRef>
          </c:cat>
          <c:val>
            <c:numRef>
              <c:f>Sheet1!$B$2:$B$5</c:f>
              <c:numCache>
                <c:formatCode>General</c:formatCode>
                <c:ptCount val="4"/>
                <c:pt idx="0">
                  <c:v>17.899999999999999</c:v>
                </c:pt>
                <c:pt idx="1">
                  <c:v>20.100000000000001</c:v>
                </c:pt>
                <c:pt idx="2">
                  <c:v>11.5</c:v>
                </c:pt>
                <c:pt idx="3">
                  <c:v>12.1</c:v>
                </c:pt>
              </c:numCache>
            </c:numRef>
          </c:val>
          <c:extLst>
            <c:ext xmlns:c16="http://schemas.microsoft.com/office/drawing/2014/chart" uri="{C3380CC4-5D6E-409C-BE32-E72D297353CC}">
              <c16:uniqueId val="{00000000-82F0-4972-B738-1D529B28E7BE}"/>
            </c:ext>
          </c:extLst>
        </c:ser>
        <c:ser>
          <c:idx val="1"/>
          <c:order val="1"/>
          <c:tx>
            <c:strRef>
              <c:f>Sheet1!$C$1</c:f>
              <c:strCache>
                <c:ptCount val="1"/>
                <c:pt idx="0">
                  <c:v>National average</c:v>
                </c:pt>
              </c:strCache>
            </c:strRef>
          </c:tx>
          <c:invertIfNegative val="0"/>
          <c:cat>
            <c:strRef>
              <c:f>Sheet1!$A$2:$A$5</c:f>
              <c:strCache>
                <c:ptCount val="4"/>
                <c:pt idx="0">
                  <c:v>Disabled women</c:v>
                </c:pt>
                <c:pt idx="1">
                  <c:v>Disabled men</c:v>
                </c:pt>
                <c:pt idx="2">
                  <c:v>Non-disabled women</c:v>
                </c:pt>
                <c:pt idx="3">
                  <c:v>Non-disabled men</c:v>
                </c:pt>
              </c:strCache>
            </c:strRef>
          </c:cat>
          <c:val>
            <c:numRef>
              <c:f>Sheet1!$C$2:$C$5</c:f>
              <c:numCache>
                <c:formatCode>General</c:formatCode>
                <c:ptCount val="4"/>
                <c:pt idx="0">
                  <c:v>22.4</c:v>
                </c:pt>
                <c:pt idx="1">
                  <c:v>28.4</c:v>
                </c:pt>
                <c:pt idx="2">
                  <c:v>19.8</c:v>
                </c:pt>
                <c:pt idx="3">
                  <c:v>21.5</c:v>
                </c:pt>
              </c:numCache>
            </c:numRef>
          </c:val>
          <c:extLst>
            <c:ext xmlns:c16="http://schemas.microsoft.com/office/drawing/2014/chart" uri="{C3380CC4-5D6E-409C-BE32-E72D297353CC}">
              <c16:uniqueId val="{00000001-82F0-4972-B738-1D529B28E7BE}"/>
            </c:ext>
          </c:extLst>
        </c:ser>
        <c:dLbls>
          <c:showLegendKey val="0"/>
          <c:showVal val="0"/>
          <c:showCatName val="0"/>
          <c:showSerName val="0"/>
          <c:showPercent val="0"/>
          <c:showBubbleSize val="0"/>
        </c:dLbls>
        <c:gapWidth val="150"/>
        <c:axId val="140535672"/>
        <c:axId val="140536064"/>
      </c:barChart>
      <c:catAx>
        <c:axId val="140535672"/>
        <c:scaling>
          <c:orientation val="minMax"/>
        </c:scaling>
        <c:delete val="0"/>
        <c:axPos val="b"/>
        <c:numFmt formatCode="General" sourceLinked="1"/>
        <c:majorTickMark val="none"/>
        <c:minorTickMark val="none"/>
        <c:tickLblPos val="nextTo"/>
        <c:crossAx val="140536064"/>
        <c:crosses val="autoZero"/>
        <c:auto val="1"/>
        <c:lblAlgn val="ctr"/>
        <c:lblOffset val="100"/>
        <c:noMultiLvlLbl val="0"/>
      </c:catAx>
      <c:valAx>
        <c:axId val="140536064"/>
        <c:scaling>
          <c:orientation val="minMax"/>
        </c:scaling>
        <c:delete val="0"/>
        <c:axPos val="l"/>
        <c:majorGridlines/>
        <c:title>
          <c:tx>
            <c:rich>
              <a:bodyPr/>
              <a:lstStyle/>
              <a:p>
                <a:pPr>
                  <a:defRPr/>
                </a:pPr>
                <a:r>
                  <a:rPr lang="en-GB"/>
                  <a:t>%</a:t>
                </a:r>
              </a:p>
            </c:rich>
          </c:tx>
          <c:overlay val="0"/>
        </c:title>
        <c:numFmt formatCode="General" sourceLinked="1"/>
        <c:majorTickMark val="none"/>
        <c:minorTickMark val="none"/>
        <c:tickLblPos val="nextTo"/>
        <c:crossAx val="140535672"/>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600"/>
              <a:t>Unemployment rates by age group</a:t>
            </a:r>
          </a:p>
        </c:rich>
      </c:tx>
      <c:layout>
        <c:manualLayout>
          <c:xMode val="edge"/>
          <c:yMode val="edge"/>
          <c:x val="0.23232505421773497"/>
          <c:y val="2.4509803921568627E-2"/>
        </c:manualLayout>
      </c:layout>
      <c:overlay val="0"/>
    </c:title>
    <c:autoTitleDeleted val="0"/>
    <c:plotArea>
      <c:layout/>
      <c:lineChart>
        <c:grouping val="standard"/>
        <c:varyColors val="0"/>
        <c:ser>
          <c:idx val="0"/>
          <c:order val="0"/>
          <c:tx>
            <c:strRef>
              <c:f>Sheet1!$B$1</c:f>
              <c:strCache>
                <c:ptCount val="1"/>
                <c:pt idx="0">
                  <c:v>EU (disabled)</c:v>
                </c:pt>
              </c:strCache>
            </c:strRef>
          </c:tx>
          <c:cat>
            <c:strRef>
              <c:f>Sheet1!$A$2:$A$6</c:f>
              <c:strCache>
                <c:ptCount val="5"/>
                <c:pt idx="0">
                  <c:v>age 16-24</c:v>
                </c:pt>
                <c:pt idx="1">
                  <c:v>age 25-34</c:v>
                </c:pt>
                <c:pt idx="2">
                  <c:v>age 35-44</c:v>
                </c:pt>
                <c:pt idx="3">
                  <c:v>age 45-54</c:v>
                </c:pt>
                <c:pt idx="4">
                  <c:v>age 55-64</c:v>
                </c:pt>
              </c:strCache>
            </c:strRef>
          </c:cat>
          <c:val>
            <c:numRef>
              <c:f>Sheet1!$B$2:$B$6</c:f>
              <c:numCache>
                <c:formatCode>0.0</c:formatCode>
                <c:ptCount val="5"/>
                <c:pt idx="0">
                  <c:v>32.687962999999996</c:v>
                </c:pt>
                <c:pt idx="1">
                  <c:v>20.359805999999999</c:v>
                </c:pt>
                <c:pt idx="2">
                  <c:v>18.487116</c:v>
                </c:pt>
                <c:pt idx="3">
                  <c:v>17.422888</c:v>
                </c:pt>
                <c:pt idx="4">
                  <c:v>21.415215</c:v>
                </c:pt>
              </c:numCache>
            </c:numRef>
          </c:val>
          <c:smooth val="0"/>
          <c:extLst>
            <c:ext xmlns:c16="http://schemas.microsoft.com/office/drawing/2014/chart" uri="{C3380CC4-5D6E-409C-BE32-E72D297353CC}">
              <c16:uniqueId val="{00000000-8F7D-462C-8FD2-C897F301CF09}"/>
            </c:ext>
          </c:extLst>
        </c:ser>
        <c:ser>
          <c:idx val="1"/>
          <c:order val="1"/>
          <c:tx>
            <c:strRef>
              <c:f>Sheet1!$C$1</c:f>
              <c:strCache>
                <c:ptCount val="1"/>
                <c:pt idx="0">
                  <c:v>EU (non-disabled)</c:v>
                </c:pt>
              </c:strCache>
            </c:strRef>
          </c:tx>
          <c:cat>
            <c:strRef>
              <c:f>Sheet1!$A$2:$A$6</c:f>
              <c:strCache>
                <c:ptCount val="5"/>
                <c:pt idx="0">
                  <c:v>age 16-24</c:v>
                </c:pt>
                <c:pt idx="1">
                  <c:v>age 25-34</c:v>
                </c:pt>
                <c:pt idx="2">
                  <c:v>age 35-44</c:v>
                </c:pt>
                <c:pt idx="3">
                  <c:v>age 45-54</c:v>
                </c:pt>
                <c:pt idx="4">
                  <c:v>age 55-64</c:v>
                </c:pt>
              </c:strCache>
            </c:strRef>
          </c:cat>
          <c:val>
            <c:numRef>
              <c:f>Sheet1!$C$2:$C$6</c:f>
              <c:numCache>
                <c:formatCode>0.0</c:formatCode>
                <c:ptCount val="5"/>
                <c:pt idx="0">
                  <c:v>24.095903</c:v>
                </c:pt>
                <c:pt idx="1">
                  <c:v>13.235832</c:v>
                </c:pt>
                <c:pt idx="2">
                  <c:v>9.2554619999999996</c:v>
                </c:pt>
                <c:pt idx="3">
                  <c:v>8.8413529999999998</c:v>
                </c:pt>
                <c:pt idx="4">
                  <c:v>10.287749</c:v>
                </c:pt>
              </c:numCache>
            </c:numRef>
          </c:val>
          <c:smooth val="0"/>
          <c:extLst>
            <c:ext xmlns:c16="http://schemas.microsoft.com/office/drawing/2014/chart" uri="{C3380CC4-5D6E-409C-BE32-E72D297353CC}">
              <c16:uniqueId val="{00000001-8F7D-462C-8FD2-C897F301CF09}"/>
            </c:ext>
          </c:extLst>
        </c:ser>
        <c:ser>
          <c:idx val="2"/>
          <c:order val="2"/>
          <c:tx>
            <c:strRef>
              <c:f>Sheet1!$D$1</c:f>
              <c:strCache>
                <c:ptCount val="1"/>
                <c:pt idx="0">
                  <c:v>National (disabled)</c:v>
                </c:pt>
              </c:strCache>
            </c:strRef>
          </c:tx>
          <c:cat>
            <c:strRef>
              <c:f>Sheet1!$A$2:$A$6</c:f>
              <c:strCache>
                <c:ptCount val="5"/>
                <c:pt idx="0">
                  <c:v>age 16-24</c:v>
                </c:pt>
                <c:pt idx="1">
                  <c:v>age 25-34</c:v>
                </c:pt>
                <c:pt idx="2">
                  <c:v>age 35-44</c:v>
                </c:pt>
                <c:pt idx="3">
                  <c:v>age 45-54</c:v>
                </c:pt>
                <c:pt idx="4">
                  <c:v>age 55-64</c:v>
                </c:pt>
              </c:strCache>
            </c:strRef>
          </c:cat>
          <c:val>
            <c:numRef>
              <c:f>Sheet1!$D$2:$D$6</c:f>
              <c:numCache>
                <c:formatCode>0.0</c:formatCode>
                <c:ptCount val="5"/>
                <c:pt idx="0">
                  <c:v>54.459823999999998</c:v>
                </c:pt>
                <c:pt idx="1">
                  <c:v>22.639654</c:v>
                </c:pt>
                <c:pt idx="2">
                  <c:v>21.030027</c:v>
                </c:pt>
                <c:pt idx="3">
                  <c:v>23.896865999999999</c:v>
                </c:pt>
                <c:pt idx="4">
                  <c:v>33.397022</c:v>
                </c:pt>
              </c:numCache>
            </c:numRef>
          </c:val>
          <c:smooth val="0"/>
          <c:extLst>
            <c:ext xmlns:c16="http://schemas.microsoft.com/office/drawing/2014/chart" uri="{C3380CC4-5D6E-409C-BE32-E72D297353CC}">
              <c16:uniqueId val="{00000002-8F7D-462C-8FD2-C897F301CF09}"/>
            </c:ext>
          </c:extLst>
        </c:ser>
        <c:ser>
          <c:idx val="3"/>
          <c:order val="3"/>
          <c:tx>
            <c:strRef>
              <c:f>Sheet1!$E$1</c:f>
              <c:strCache>
                <c:ptCount val="1"/>
                <c:pt idx="0">
                  <c:v>National (non-disabled)</c:v>
                </c:pt>
              </c:strCache>
            </c:strRef>
          </c:tx>
          <c:cat>
            <c:strRef>
              <c:f>Sheet1!$A$2:$A$6</c:f>
              <c:strCache>
                <c:ptCount val="5"/>
                <c:pt idx="0">
                  <c:v>age 16-24</c:v>
                </c:pt>
                <c:pt idx="1">
                  <c:v>age 25-34</c:v>
                </c:pt>
                <c:pt idx="2">
                  <c:v>age 35-44</c:v>
                </c:pt>
                <c:pt idx="3">
                  <c:v>age 45-54</c:v>
                </c:pt>
                <c:pt idx="4">
                  <c:v>age 55-64</c:v>
                </c:pt>
              </c:strCache>
            </c:strRef>
          </c:cat>
          <c:val>
            <c:numRef>
              <c:f>Sheet1!$E$2:$E$6</c:f>
              <c:numCache>
                <c:formatCode>0.0</c:formatCode>
                <c:ptCount val="5"/>
                <c:pt idx="0">
                  <c:v>42.057276000000002</c:v>
                </c:pt>
                <c:pt idx="1">
                  <c:v>18.912177999999997</c:v>
                </c:pt>
                <c:pt idx="2">
                  <c:v>13.66606</c:v>
                </c:pt>
                <c:pt idx="3">
                  <c:v>15.100263</c:v>
                </c:pt>
                <c:pt idx="4">
                  <c:v>21.573124</c:v>
                </c:pt>
              </c:numCache>
            </c:numRef>
          </c:val>
          <c:smooth val="0"/>
          <c:extLst>
            <c:ext xmlns:c16="http://schemas.microsoft.com/office/drawing/2014/chart" uri="{C3380CC4-5D6E-409C-BE32-E72D297353CC}">
              <c16:uniqueId val="{00000003-8F7D-462C-8FD2-C897F301CF09}"/>
            </c:ext>
          </c:extLst>
        </c:ser>
        <c:dLbls>
          <c:showLegendKey val="0"/>
          <c:showVal val="0"/>
          <c:showCatName val="0"/>
          <c:showSerName val="0"/>
          <c:showPercent val="0"/>
          <c:showBubbleSize val="0"/>
        </c:dLbls>
        <c:marker val="1"/>
        <c:smooth val="0"/>
        <c:axId val="140537632"/>
        <c:axId val="140538024"/>
      </c:lineChart>
      <c:catAx>
        <c:axId val="140537632"/>
        <c:scaling>
          <c:orientation val="minMax"/>
        </c:scaling>
        <c:delete val="0"/>
        <c:axPos val="b"/>
        <c:numFmt formatCode="General" sourceLinked="1"/>
        <c:majorTickMark val="none"/>
        <c:minorTickMark val="none"/>
        <c:tickLblPos val="nextTo"/>
        <c:crossAx val="140538024"/>
        <c:crosses val="autoZero"/>
        <c:auto val="1"/>
        <c:lblAlgn val="ctr"/>
        <c:lblOffset val="100"/>
        <c:noMultiLvlLbl val="0"/>
      </c:catAx>
      <c:valAx>
        <c:axId val="140538024"/>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140537632"/>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600"/>
              <a:t>National</a:t>
            </a:r>
            <a:r>
              <a:rPr lang="en-GB" sz="1600" baseline="0"/>
              <a:t> t</a:t>
            </a:r>
            <a:r>
              <a:rPr lang="en-GB" sz="1600"/>
              <a:t>rends in unemployment rates</a:t>
            </a:r>
          </a:p>
        </c:rich>
      </c:tx>
      <c:overlay val="0"/>
    </c:title>
    <c:autoTitleDeleted val="0"/>
    <c:plotArea>
      <c:layout/>
      <c:lineChart>
        <c:grouping val="standard"/>
        <c:varyColors val="0"/>
        <c:ser>
          <c:idx val="0"/>
          <c:order val="0"/>
          <c:tx>
            <c:strRef>
              <c:f>Sheet1!$B$1</c:f>
              <c:strCache>
                <c:ptCount val="1"/>
                <c:pt idx="0">
                  <c:v>Disabled women</c:v>
                </c:pt>
              </c:strCache>
            </c:strRef>
          </c:tx>
          <c:cat>
            <c:strRef>
              <c:f>Sheet1!$A$2:$A$8</c:f>
              <c:strCache>
                <c:ptCount val="7"/>
                <c:pt idx="0">
                  <c:v>2008</c:v>
                </c:pt>
                <c:pt idx="1">
                  <c:v>2009</c:v>
                </c:pt>
                <c:pt idx="2">
                  <c:v>2010*</c:v>
                </c:pt>
                <c:pt idx="3">
                  <c:v>2011</c:v>
                </c:pt>
                <c:pt idx="4">
                  <c:v>2012</c:v>
                </c:pt>
                <c:pt idx="5">
                  <c:v>2013</c:v>
                </c:pt>
                <c:pt idx="6">
                  <c:v>2014</c:v>
                </c:pt>
              </c:strCache>
            </c:strRef>
          </c:cat>
          <c:val>
            <c:numRef>
              <c:f>Sheet1!$B$2:$B$8</c:f>
              <c:numCache>
                <c:formatCode>General</c:formatCode>
                <c:ptCount val="7"/>
                <c:pt idx="0">
                  <c:v>8</c:v>
                </c:pt>
                <c:pt idx="1">
                  <c:v>6.3</c:v>
                </c:pt>
                <c:pt idx="3">
                  <c:v>10</c:v>
                </c:pt>
                <c:pt idx="4">
                  <c:v>15.5</c:v>
                </c:pt>
                <c:pt idx="5">
                  <c:v>22.4</c:v>
                </c:pt>
                <c:pt idx="6" formatCode="0.0">
                  <c:v>22</c:v>
                </c:pt>
              </c:numCache>
            </c:numRef>
          </c:val>
          <c:smooth val="0"/>
          <c:extLst>
            <c:ext xmlns:c16="http://schemas.microsoft.com/office/drawing/2014/chart" uri="{C3380CC4-5D6E-409C-BE32-E72D297353CC}">
              <c16:uniqueId val="{00000000-A165-4197-990C-A8E7DB4C8844}"/>
            </c:ext>
          </c:extLst>
        </c:ser>
        <c:ser>
          <c:idx val="1"/>
          <c:order val="1"/>
          <c:tx>
            <c:strRef>
              <c:f>Sheet1!$C$1</c:f>
              <c:strCache>
                <c:ptCount val="1"/>
                <c:pt idx="0">
                  <c:v>Disabled men</c:v>
                </c:pt>
              </c:strCache>
            </c:strRef>
          </c:tx>
          <c:cat>
            <c:strRef>
              <c:f>Sheet1!$A$2:$A$8</c:f>
              <c:strCache>
                <c:ptCount val="7"/>
                <c:pt idx="0">
                  <c:v>2008</c:v>
                </c:pt>
                <c:pt idx="1">
                  <c:v>2009</c:v>
                </c:pt>
                <c:pt idx="2">
                  <c:v>2010*</c:v>
                </c:pt>
                <c:pt idx="3">
                  <c:v>2011</c:v>
                </c:pt>
                <c:pt idx="4">
                  <c:v>2012</c:v>
                </c:pt>
                <c:pt idx="5">
                  <c:v>2013</c:v>
                </c:pt>
                <c:pt idx="6">
                  <c:v>2014</c:v>
                </c:pt>
              </c:strCache>
            </c:strRef>
          </c:cat>
          <c:val>
            <c:numRef>
              <c:f>Sheet1!$C$2:$C$8</c:f>
              <c:numCache>
                <c:formatCode>General</c:formatCode>
                <c:ptCount val="7"/>
                <c:pt idx="0">
                  <c:v>5.7</c:v>
                </c:pt>
                <c:pt idx="1">
                  <c:v>10</c:v>
                </c:pt>
                <c:pt idx="3">
                  <c:v>11.5</c:v>
                </c:pt>
                <c:pt idx="4">
                  <c:v>20.100000000000001</c:v>
                </c:pt>
                <c:pt idx="5">
                  <c:v>28.4</c:v>
                </c:pt>
                <c:pt idx="6" formatCode="0.0">
                  <c:v>29.19</c:v>
                </c:pt>
              </c:numCache>
            </c:numRef>
          </c:val>
          <c:smooth val="0"/>
          <c:extLst>
            <c:ext xmlns:c16="http://schemas.microsoft.com/office/drawing/2014/chart" uri="{C3380CC4-5D6E-409C-BE32-E72D297353CC}">
              <c16:uniqueId val="{00000001-A165-4197-990C-A8E7DB4C8844}"/>
            </c:ext>
          </c:extLst>
        </c:ser>
        <c:ser>
          <c:idx val="2"/>
          <c:order val="2"/>
          <c:tx>
            <c:strRef>
              <c:f>Sheet1!$D$1</c:f>
              <c:strCache>
                <c:ptCount val="1"/>
                <c:pt idx="0">
                  <c:v>Non-disabled women</c:v>
                </c:pt>
              </c:strCache>
            </c:strRef>
          </c:tx>
          <c:cat>
            <c:strRef>
              <c:f>Sheet1!$A$2:$A$8</c:f>
              <c:strCache>
                <c:ptCount val="7"/>
                <c:pt idx="0">
                  <c:v>2008</c:v>
                </c:pt>
                <c:pt idx="1">
                  <c:v>2009</c:v>
                </c:pt>
                <c:pt idx="2">
                  <c:v>2010*</c:v>
                </c:pt>
                <c:pt idx="3">
                  <c:v>2011</c:v>
                </c:pt>
                <c:pt idx="4">
                  <c:v>2012</c:v>
                </c:pt>
                <c:pt idx="5">
                  <c:v>2013</c:v>
                </c:pt>
                <c:pt idx="6">
                  <c:v>2014</c:v>
                </c:pt>
              </c:strCache>
            </c:strRef>
          </c:cat>
          <c:val>
            <c:numRef>
              <c:f>Sheet1!$D$2:$D$8</c:f>
              <c:numCache>
                <c:formatCode>General</c:formatCode>
                <c:ptCount val="7"/>
                <c:pt idx="0">
                  <c:v>4.5</c:v>
                </c:pt>
                <c:pt idx="1">
                  <c:v>5.2</c:v>
                </c:pt>
                <c:pt idx="3">
                  <c:v>8.6</c:v>
                </c:pt>
                <c:pt idx="4">
                  <c:v>13.2</c:v>
                </c:pt>
                <c:pt idx="5">
                  <c:v>19.8</c:v>
                </c:pt>
                <c:pt idx="6" formatCode="0.0">
                  <c:v>17.57</c:v>
                </c:pt>
              </c:numCache>
            </c:numRef>
          </c:val>
          <c:smooth val="0"/>
          <c:extLst>
            <c:ext xmlns:c16="http://schemas.microsoft.com/office/drawing/2014/chart" uri="{C3380CC4-5D6E-409C-BE32-E72D297353CC}">
              <c16:uniqueId val="{00000002-A165-4197-990C-A8E7DB4C8844}"/>
            </c:ext>
          </c:extLst>
        </c:ser>
        <c:ser>
          <c:idx val="3"/>
          <c:order val="3"/>
          <c:tx>
            <c:strRef>
              <c:f>Sheet1!$E$1</c:f>
              <c:strCache>
                <c:ptCount val="1"/>
                <c:pt idx="0">
                  <c:v>Non-disabled men</c:v>
                </c:pt>
              </c:strCache>
            </c:strRef>
          </c:tx>
          <c:cat>
            <c:strRef>
              <c:f>Sheet1!$A$2:$A$8</c:f>
              <c:strCache>
                <c:ptCount val="7"/>
                <c:pt idx="0">
                  <c:v>2008</c:v>
                </c:pt>
                <c:pt idx="1">
                  <c:v>2009</c:v>
                </c:pt>
                <c:pt idx="2">
                  <c:v>2010*</c:v>
                </c:pt>
                <c:pt idx="3">
                  <c:v>2011</c:v>
                </c:pt>
                <c:pt idx="4">
                  <c:v>2012</c:v>
                </c:pt>
                <c:pt idx="5">
                  <c:v>2013</c:v>
                </c:pt>
                <c:pt idx="6">
                  <c:v>2014</c:v>
                </c:pt>
              </c:strCache>
            </c:strRef>
          </c:cat>
          <c:val>
            <c:numRef>
              <c:f>Sheet1!$E$2:$E$8</c:f>
              <c:numCache>
                <c:formatCode>General</c:formatCode>
                <c:ptCount val="7"/>
                <c:pt idx="0">
                  <c:v>2.9</c:v>
                </c:pt>
                <c:pt idx="1">
                  <c:v>5.8</c:v>
                </c:pt>
                <c:pt idx="3">
                  <c:v>9</c:v>
                </c:pt>
                <c:pt idx="4">
                  <c:v>13.9</c:v>
                </c:pt>
                <c:pt idx="5">
                  <c:v>21.5</c:v>
                </c:pt>
                <c:pt idx="6" formatCode="0.0">
                  <c:v>20.57</c:v>
                </c:pt>
              </c:numCache>
            </c:numRef>
          </c:val>
          <c:smooth val="0"/>
          <c:extLst>
            <c:ext xmlns:c16="http://schemas.microsoft.com/office/drawing/2014/chart" uri="{C3380CC4-5D6E-409C-BE32-E72D297353CC}">
              <c16:uniqueId val="{00000003-A165-4197-990C-A8E7DB4C8844}"/>
            </c:ext>
          </c:extLst>
        </c:ser>
        <c:ser>
          <c:idx val="4"/>
          <c:order val="4"/>
          <c:tx>
            <c:strRef>
              <c:f>Sheet1!$F$1</c:f>
              <c:strCache>
                <c:ptCount val="1"/>
                <c:pt idx="0">
                  <c:v>EU average (all)</c:v>
                </c:pt>
              </c:strCache>
            </c:strRef>
          </c:tx>
          <c:cat>
            <c:strRef>
              <c:f>Sheet1!$A$2:$A$8</c:f>
              <c:strCache>
                <c:ptCount val="7"/>
                <c:pt idx="0">
                  <c:v>2008</c:v>
                </c:pt>
                <c:pt idx="1">
                  <c:v>2009</c:v>
                </c:pt>
                <c:pt idx="2">
                  <c:v>2010*</c:v>
                </c:pt>
                <c:pt idx="3">
                  <c:v>2011</c:v>
                </c:pt>
                <c:pt idx="4">
                  <c:v>2012</c:v>
                </c:pt>
                <c:pt idx="5">
                  <c:v>2013</c:v>
                </c:pt>
                <c:pt idx="6">
                  <c:v>2014</c:v>
                </c:pt>
              </c:strCache>
            </c:strRef>
          </c:cat>
          <c:val>
            <c:numRef>
              <c:f>Sheet1!$F$2:$F$8</c:f>
              <c:numCache>
                <c:formatCode>General</c:formatCode>
                <c:ptCount val="7"/>
                <c:pt idx="0">
                  <c:v>8.4</c:v>
                </c:pt>
                <c:pt idx="1">
                  <c:v>10.199999999999999</c:v>
                </c:pt>
                <c:pt idx="2">
                  <c:v>10.9</c:v>
                </c:pt>
                <c:pt idx="3">
                  <c:v>11.3</c:v>
                </c:pt>
                <c:pt idx="4">
                  <c:v>12.2</c:v>
                </c:pt>
                <c:pt idx="5">
                  <c:v>12.9</c:v>
                </c:pt>
                <c:pt idx="6" formatCode="0.0">
                  <c:v>12.6</c:v>
                </c:pt>
              </c:numCache>
            </c:numRef>
          </c:val>
          <c:smooth val="0"/>
          <c:extLst>
            <c:ext xmlns:c16="http://schemas.microsoft.com/office/drawing/2014/chart" uri="{C3380CC4-5D6E-409C-BE32-E72D297353CC}">
              <c16:uniqueId val="{00000004-A165-4197-990C-A8E7DB4C8844}"/>
            </c:ext>
          </c:extLst>
        </c:ser>
        <c:dLbls>
          <c:showLegendKey val="0"/>
          <c:showVal val="0"/>
          <c:showCatName val="0"/>
          <c:showSerName val="0"/>
          <c:showPercent val="0"/>
          <c:showBubbleSize val="0"/>
        </c:dLbls>
        <c:marker val="1"/>
        <c:smooth val="0"/>
        <c:axId val="140539200"/>
        <c:axId val="141193112"/>
      </c:lineChart>
      <c:catAx>
        <c:axId val="140539200"/>
        <c:scaling>
          <c:orientation val="minMax"/>
        </c:scaling>
        <c:delete val="0"/>
        <c:axPos val="b"/>
        <c:numFmt formatCode="General" sourceLinked="1"/>
        <c:majorTickMark val="none"/>
        <c:minorTickMark val="none"/>
        <c:tickLblPos val="nextTo"/>
        <c:crossAx val="141193112"/>
        <c:crosses val="autoZero"/>
        <c:auto val="1"/>
        <c:lblAlgn val="ctr"/>
        <c:lblOffset val="100"/>
        <c:noMultiLvlLbl val="0"/>
      </c:catAx>
      <c:valAx>
        <c:axId val="141193112"/>
        <c:scaling>
          <c:orientation val="minMax"/>
        </c:scaling>
        <c:delete val="0"/>
        <c:axPos val="l"/>
        <c:majorGridlines/>
        <c:title>
          <c:tx>
            <c:rich>
              <a:bodyPr/>
              <a:lstStyle/>
              <a:p>
                <a:pPr>
                  <a:defRPr/>
                </a:pPr>
                <a:r>
                  <a:rPr lang="en-GB"/>
                  <a:t>%</a:t>
                </a:r>
              </a:p>
            </c:rich>
          </c:tx>
          <c:overlay val="0"/>
        </c:title>
        <c:numFmt formatCode="General" sourceLinked="1"/>
        <c:majorTickMark val="none"/>
        <c:minorTickMark val="none"/>
        <c:tickLblPos val="nextTo"/>
        <c:crossAx val="140539200"/>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en-GB" sz="1600"/>
              <a:t>Overview of economic activity rates</a:t>
            </a:r>
          </a:p>
        </c:rich>
      </c:tx>
      <c:overlay val="0"/>
    </c:title>
    <c:autoTitleDeleted val="0"/>
    <c:plotArea>
      <c:layout/>
      <c:barChart>
        <c:barDir val="col"/>
        <c:grouping val="clustered"/>
        <c:varyColors val="0"/>
        <c:ser>
          <c:idx val="0"/>
          <c:order val="0"/>
          <c:tx>
            <c:strRef>
              <c:f>Sheet1!$B$1</c:f>
              <c:strCache>
                <c:ptCount val="1"/>
                <c:pt idx="0">
                  <c:v>EU average</c:v>
                </c:pt>
              </c:strCache>
            </c:strRef>
          </c:tx>
          <c:invertIfNegative val="0"/>
          <c:cat>
            <c:strRef>
              <c:f>Sheet1!$A$2:$A$5</c:f>
              <c:strCache>
                <c:ptCount val="4"/>
                <c:pt idx="0">
                  <c:v>Disabled women</c:v>
                </c:pt>
                <c:pt idx="1">
                  <c:v>Disabled men</c:v>
                </c:pt>
                <c:pt idx="2">
                  <c:v>Non-disabled women</c:v>
                </c:pt>
                <c:pt idx="3">
                  <c:v>Non-disabled men</c:v>
                </c:pt>
              </c:strCache>
            </c:strRef>
          </c:cat>
          <c:val>
            <c:numRef>
              <c:f>Sheet1!$B$2:$B$5</c:f>
              <c:numCache>
                <c:formatCode>0.0</c:formatCode>
                <c:ptCount val="4"/>
                <c:pt idx="0">
                  <c:v>56.28</c:v>
                </c:pt>
                <c:pt idx="1">
                  <c:v>65.66</c:v>
                </c:pt>
                <c:pt idx="2">
                  <c:v>75.08</c:v>
                </c:pt>
                <c:pt idx="3">
                  <c:v>88.35</c:v>
                </c:pt>
              </c:numCache>
            </c:numRef>
          </c:val>
          <c:extLst>
            <c:ext xmlns:c16="http://schemas.microsoft.com/office/drawing/2014/chart" uri="{C3380CC4-5D6E-409C-BE32-E72D297353CC}">
              <c16:uniqueId val="{00000000-D82B-4340-9FE8-274E5A402316}"/>
            </c:ext>
          </c:extLst>
        </c:ser>
        <c:ser>
          <c:idx val="1"/>
          <c:order val="1"/>
          <c:tx>
            <c:strRef>
              <c:f>Sheet1!$C$1</c:f>
              <c:strCache>
                <c:ptCount val="1"/>
                <c:pt idx="0">
                  <c:v>National average</c:v>
                </c:pt>
              </c:strCache>
            </c:strRef>
          </c:tx>
          <c:invertIfNegative val="0"/>
          <c:cat>
            <c:strRef>
              <c:f>Sheet1!$A$2:$A$5</c:f>
              <c:strCache>
                <c:ptCount val="4"/>
                <c:pt idx="0">
                  <c:v>Disabled women</c:v>
                </c:pt>
                <c:pt idx="1">
                  <c:v>Disabled men</c:v>
                </c:pt>
                <c:pt idx="2">
                  <c:v>Non-disabled women</c:v>
                </c:pt>
                <c:pt idx="3">
                  <c:v>Non-disabled men</c:v>
                </c:pt>
              </c:strCache>
            </c:strRef>
          </c:cat>
          <c:val>
            <c:numRef>
              <c:f>Sheet1!$C$2:$C$5</c:f>
              <c:numCache>
                <c:formatCode>0.0</c:formatCode>
                <c:ptCount val="4"/>
                <c:pt idx="0">
                  <c:v>49.94</c:v>
                </c:pt>
                <c:pt idx="1">
                  <c:v>72.13</c:v>
                </c:pt>
                <c:pt idx="2">
                  <c:v>77.38</c:v>
                </c:pt>
                <c:pt idx="3">
                  <c:v>87.3</c:v>
                </c:pt>
              </c:numCache>
            </c:numRef>
          </c:val>
          <c:extLst>
            <c:ext xmlns:c16="http://schemas.microsoft.com/office/drawing/2014/chart" uri="{C3380CC4-5D6E-409C-BE32-E72D297353CC}">
              <c16:uniqueId val="{00000001-D82B-4340-9FE8-274E5A402316}"/>
            </c:ext>
          </c:extLst>
        </c:ser>
        <c:dLbls>
          <c:showLegendKey val="0"/>
          <c:showVal val="0"/>
          <c:showCatName val="0"/>
          <c:showSerName val="0"/>
          <c:showPercent val="0"/>
          <c:showBubbleSize val="0"/>
        </c:dLbls>
        <c:gapWidth val="150"/>
        <c:axId val="140537240"/>
        <c:axId val="141195072"/>
      </c:barChart>
      <c:catAx>
        <c:axId val="140537240"/>
        <c:scaling>
          <c:orientation val="minMax"/>
        </c:scaling>
        <c:delete val="0"/>
        <c:axPos val="b"/>
        <c:numFmt formatCode="General" sourceLinked="1"/>
        <c:majorTickMark val="none"/>
        <c:minorTickMark val="none"/>
        <c:tickLblPos val="nextTo"/>
        <c:crossAx val="141195072"/>
        <c:crosses val="autoZero"/>
        <c:auto val="1"/>
        <c:lblAlgn val="ctr"/>
        <c:lblOffset val="100"/>
        <c:noMultiLvlLbl val="0"/>
      </c:catAx>
      <c:valAx>
        <c:axId val="141195072"/>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140537240"/>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600"/>
              <a:t>Activity rates by age group</a:t>
            </a:r>
          </a:p>
        </c:rich>
      </c:tx>
      <c:layout>
        <c:manualLayout>
          <c:xMode val="edge"/>
          <c:yMode val="edge"/>
          <c:x val="0.23232505421773497"/>
          <c:y val="1.9755497007424284E-2"/>
        </c:manualLayout>
      </c:layout>
      <c:overlay val="0"/>
    </c:title>
    <c:autoTitleDeleted val="0"/>
    <c:plotArea>
      <c:layout/>
      <c:lineChart>
        <c:grouping val="standard"/>
        <c:varyColors val="0"/>
        <c:ser>
          <c:idx val="0"/>
          <c:order val="0"/>
          <c:tx>
            <c:strRef>
              <c:f>Sheet1!$B$1</c:f>
              <c:strCache>
                <c:ptCount val="1"/>
                <c:pt idx="0">
                  <c:v>EU (disabled)</c:v>
                </c:pt>
              </c:strCache>
            </c:strRef>
          </c:tx>
          <c:cat>
            <c:strRef>
              <c:f>Sheet1!$A$2:$A$6</c:f>
              <c:strCache>
                <c:ptCount val="5"/>
                <c:pt idx="0">
                  <c:v>age 16-24</c:v>
                </c:pt>
                <c:pt idx="1">
                  <c:v>age 25-34</c:v>
                </c:pt>
                <c:pt idx="2">
                  <c:v>age 35-44</c:v>
                </c:pt>
                <c:pt idx="3">
                  <c:v>age 45-54</c:v>
                </c:pt>
                <c:pt idx="4">
                  <c:v>age 55-64</c:v>
                </c:pt>
              </c:strCache>
            </c:strRef>
          </c:cat>
          <c:val>
            <c:numRef>
              <c:f>Sheet1!$B$2:$B$6</c:f>
              <c:numCache>
                <c:formatCode>0.0</c:formatCode>
                <c:ptCount val="5"/>
                <c:pt idx="0">
                  <c:v>33.915787999999999</c:v>
                </c:pt>
                <c:pt idx="1">
                  <c:v>72.863039999999998</c:v>
                </c:pt>
                <c:pt idx="2">
                  <c:v>75.057337000000004</c:v>
                </c:pt>
                <c:pt idx="3">
                  <c:v>71.049019000000001</c:v>
                </c:pt>
                <c:pt idx="4">
                  <c:v>43.876176000000001</c:v>
                </c:pt>
              </c:numCache>
            </c:numRef>
          </c:val>
          <c:smooth val="0"/>
          <c:extLst>
            <c:ext xmlns:c16="http://schemas.microsoft.com/office/drawing/2014/chart" uri="{C3380CC4-5D6E-409C-BE32-E72D297353CC}">
              <c16:uniqueId val="{00000000-5960-47E8-9CD6-A082C98D2E28}"/>
            </c:ext>
          </c:extLst>
        </c:ser>
        <c:ser>
          <c:idx val="1"/>
          <c:order val="1"/>
          <c:tx>
            <c:strRef>
              <c:f>Sheet1!$C$1</c:f>
              <c:strCache>
                <c:ptCount val="1"/>
                <c:pt idx="0">
                  <c:v>EU (non-disabled)</c:v>
                </c:pt>
              </c:strCache>
            </c:strRef>
          </c:tx>
          <c:cat>
            <c:strRef>
              <c:f>Sheet1!$A$2:$A$6</c:f>
              <c:strCache>
                <c:ptCount val="5"/>
                <c:pt idx="0">
                  <c:v>age 16-24</c:v>
                </c:pt>
                <c:pt idx="1">
                  <c:v>age 25-34</c:v>
                </c:pt>
                <c:pt idx="2">
                  <c:v>age 35-44</c:v>
                </c:pt>
                <c:pt idx="3">
                  <c:v>age 45-54</c:v>
                </c:pt>
                <c:pt idx="4">
                  <c:v>age 55-64</c:v>
                </c:pt>
              </c:strCache>
            </c:strRef>
          </c:cat>
          <c:val>
            <c:numRef>
              <c:f>Sheet1!$C$2:$C$6</c:f>
              <c:numCache>
                <c:formatCode>0.0</c:formatCode>
                <c:ptCount val="5"/>
                <c:pt idx="0">
                  <c:v>38.869979999999998</c:v>
                </c:pt>
                <c:pt idx="1">
                  <c:v>86.137695999999991</c:v>
                </c:pt>
                <c:pt idx="2">
                  <c:v>91.558593999999999</c:v>
                </c:pt>
                <c:pt idx="3">
                  <c:v>91.378046999999995</c:v>
                </c:pt>
                <c:pt idx="4">
                  <c:v>65.397775999999993</c:v>
                </c:pt>
              </c:numCache>
            </c:numRef>
          </c:val>
          <c:smooth val="0"/>
          <c:extLst>
            <c:ext xmlns:c16="http://schemas.microsoft.com/office/drawing/2014/chart" uri="{C3380CC4-5D6E-409C-BE32-E72D297353CC}">
              <c16:uniqueId val="{00000001-5960-47E8-9CD6-A082C98D2E28}"/>
            </c:ext>
          </c:extLst>
        </c:ser>
        <c:ser>
          <c:idx val="2"/>
          <c:order val="2"/>
          <c:tx>
            <c:strRef>
              <c:f>Sheet1!$D$1</c:f>
              <c:strCache>
                <c:ptCount val="1"/>
                <c:pt idx="0">
                  <c:v>National (disabled)</c:v>
                </c:pt>
              </c:strCache>
            </c:strRef>
          </c:tx>
          <c:cat>
            <c:strRef>
              <c:f>Sheet1!$A$2:$A$6</c:f>
              <c:strCache>
                <c:ptCount val="5"/>
                <c:pt idx="0">
                  <c:v>age 16-24</c:v>
                </c:pt>
                <c:pt idx="1">
                  <c:v>age 25-34</c:v>
                </c:pt>
                <c:pt idx="2">
                  <c:v>age 35-44</c:v>
                </c:pt>
                <c:pt idx="3">
                  <c:v>age 45-54</c:v>
                </c:pt>
                <c:pt idx="4">
                  <c:v>age 55-64</c:v>
                </c:pt>
              </c:strCache>
            </c:strRef>
          </c:cat>
          <c:val>
            <c:numRef>
              <c:f>Sheet1!$D$2:$D$6</c:f>
              <c:numCache>
                <c:formatCode>0.0</c:formatCode>
                <c:ptCount val="5"/>
                <c:pt idx="0">
                  <c:v>19.985897000000001</c:v>
                </c:pt>
                <c:pt idx="1">
                  <c:v>82.950268999999992</c:v>
                </c:pt>
                <c:pt idx="2">
                  <c:v>73.135201999999992</c:v>
                </c:pt>
                <c:pt idx="3">
                  <c:v>67.160257999999999</c:v>
                </c:pt>
                <c:pt idx="4">
                  <c:v>47.527374999999999</c:v>
                </c:pt>
              </c:numCache>
            </c:numRef>
          </c:val>
          <c:smooth val="0"/>
          <c:extLst>
            <c:ext xmlns:c16="http://schemas.microsoft.com/office/drawing/2014/chart" uri="{C3380CC4-5D6E-409C-BE32-E72D297353CC}">
              <c16:uniqueId val="{00000002-5960-47E8-9CD6-A082C98D2E28}"/>
            </c:ext>
          </c:extLst>
        </c:ser>
        <c:ser>
          <c:idx val="3"/>
          <c:order val="3"/>
          <c:tx>
            <c:strRef>
              <c:f>Sheet1!$E$1</c:f>
              <c:strCache>
                <c:ptCount val="1"/>
                <c:pt idx="0">
                  <c:v>National (non-disabled)</c:v>
                </c:pt>
              </c:strCache>
            </c:strRef>
          </c:tx>
          <c:cat>
            <c:strRef>
              <c:f>Sheet1!$A$2:$A$6</c:f>
              <c:strCache>
                <c:ptCount val="5"/>
                <c:pt idx="0">
                  <c:v>age 16-24</c:v>
                </c:pt>
                <c:pt idx="1">
                  <c:v>age 25-34</c:v>
                </c:pt>
                <c:pt idx="2">
                  <c:v>age 35-44</c:v>
                </c:pt>
                <c:pt idx="3">
                  <c:v>age 45-54</c:v>
                </c:pt>
                <c:pt idx="4">
                  <c:v>age 55-64</c:v>
                </c:pt>
              </c:strCache>
            </c:strRef>
          </c:cat>
          <c:val>
            <c:numRef>
              <c:f>Sheet1!$E$2:$E$6</c:f>
              <c:numCache>
                <c:formatCode>0.0</c:formatCode>
                <c:ptCount val="5"/>
                <c:pt idx="0">
                  <c:v>36.663466</c:v>
                </c:pt>
                <c:pt idx="1">
                  <c:v>92.441552999999999</c:v>
                </c:pt>
                <c:pt idx="2">
                  <c:v>93.949921000000003</c:v>
                </c:pt>
                <c:pt idx="3">
                  <c:v>87.435969</c:v>
                </c:pt>
                <c:pt idx="4">
                  <c:v>64.117131999999998</c:v>
                </c:pt>
              </c:numCache>
            </c:numRef>
          </c:val>
          <c:smooth val="0"/>
          <c:extLst>
            <c:ext xmlns:c16="http://schemas.microsoft.com/office/drawing/2014/chart" uri="{C3380CC4-5D6E-409C-BE32-E72D297353CC}">
              <c16:uniqueId val="{00000003-5960-47E8-9CD6-A082C98D2E28}"/>
            </c:ext>
          </c:extLst>
        </c:ser>
        <c:dLbls>
          <c:showLegendKey val="0"/>
          <c:showVal val="0"/>
          <c:showCatName val="0"/>
          <c:showSerName val="0"/>
          <c:showPercent val="0"/>
          <c:showBubbleSize val="0"/>
        </c:dLbls>
        <c:marker val="1"/>
        <c:smooth val="0"/>
        <c:axId val="141196248"/>
        <c:axId val="141196640"/>
      </c:lineChart>
      <c:catAx>
        <c:axId val="141196248"/>
        <c:scaling>
          <c:orientation val="minMax"/>
        </c:scaling>
        <c:delete val="0"/>
        <c:axPos val="b"/>
        <c:numFmt formatCode="General" sourceLinked="1"/>
        <c:majorTickMark val="none"/>
        <c:minorTickMark val="none"/>
        <c:tickLblPos val="nextTo"/>
        <c:crossAx val="141196640"/>
        <c:crosses val="autoZero"/>
        <c:auto val="1"/>
        <c:lblAlgn val="ctr"/>
        <c:lblOffset val="100"/>
        <c:noMultiLvlLbl val="0"/>
      </c:catAx>
      <c:valAx>
        <c:axId val="141196640"/>
        <c:scaling>
          <c:orientation val="minMax"/>
        </c:scaling>
        <c:delete val="0"/>
        <c:axPos val="l"/>
        <c:majorGridlines/>
        <c:title>
          <c:tx>
            <c:rich>
              <a:bodyPr/>
              <a:lstStyle/>
              <a:p>
                <a:pPr>
                  <a:defRPr/>
                </a:pPr>
                <a:r>
                  <a:rPr lang="en-GB"/>
                  <a:t>%</a:t>
                </a:r>
              </a:p>
            </c:rich>
          </c:tx>
          <c:overlay val="0"/>
        </c:title>
        <c:numFmt formatCode="0.0" sourceLinked="1"/>
        <c:majorTickMark val="none"/>
        <c:minorTickMark val="none"/>
        <c:tickLblPos val="nextTo"/>
        <c:crossAx val="141196248"/>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9E9E7-0E32-4B7A-9F4D-13DFCDEA6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49</Pages>
  <Words>13353</Words>
  <Characters>73444</Characters>
  <Application>Microsoft Office Word</Application>
  <DocSecurity>0</DocSecurity>
  <Lines>612</Lines>
  <Paragraphs>173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86624</CharactersWithSpaces>
  <SharedDoc>false</SharedDoc>
  <HLinks>
    <vt:vector size="330" baseType="variant">
      <vt:variant>
        <vt:i4>1703989</vt:i4>
      </vt:variant>
      <vt:variant>
        <vt:i4>155</vt:i4>
      </vt:variant>
      <vt:variant>
        <vt:i4>0</vt:i4>
      </vt:variant>
      <vt:variant>
        <vt:i4>5</vt:i4>
      </vt:variant>
      <vt:variant>
        <vt:lpwstr/>
      </vt:variant>
      <vt:variant>
        <vt:lpwstr>_Toc453834145</vt:lpwstr>
      </vt:variant>
      <vt:variant>
        <vt:i4>1703989</vt:i4>
      </vt:variant>
      <vt:variant>
        <vt:i4>149</vt:i4>
      </vt:variant>
      <vt:variant>
        <vt:i4>0</vt:i4>
      </vt:variant>
      <vt:variant>
        <vt:i4>5</vt:i4>
      </vt:variant>
      <vt:variant>
        <vt:lpwstr/>
      </vt:variant>
      <vt:variant>
        <vt:lpwstr>_Toc453834144</vt:lpwstr>
      </vt:variant>
      <vt:variant>
        <vt:i4>1703989</vt:i4>
      </vt:variant>
      <vt:variant>
        <vt:i4>143</vt:i4>
      </vt:variant>
      <vt:variant>
        <vt:i4>0</vt:i4>
      </vt:variant>
      <vt:variant>
        <vt:i4>5</vt:i4>
      </vt:variant>
      <vt:variant>
        <vt:lpwstr/>
      </vt:variant>
      <vt:variant>
        <vt:lpwstr>_Toc453834143</vt:lpwstr>
      </vt:variant>
      <vt:variant>
        <vt:i4>1703989</vt:i4>
      </vt:variant>
      <vt:variant>
        <vt:i4>137</vt:i4>
      </vt:variant>
      <vt:variant>
        <vt:i4>0</vt:i4>
      </vt:variant>
      <vt:variant>
        <vt:i4>5</vt:i4>
      </vt:variant>
      <vt:variant>
        <vt:lpwstr/>
      </vt:variant>
      <vt:variant>
        <vt:lpwstr>_Toc453834142</vt:lpwstr>
      </vt:variant>
      <vt:variant>
        <vt:i4>1703989</vt:i4>
      </vt:variant>
      <vt:variant>
        <vt:i4>131</vt:i4>
      </vt:variant>
      <vt:variant>
        <vt:i4>0</vt:i4>
      </vt:variant>
      <vt:variant>
        <vt:i4>5</vt:i4>
      </vt:variant>
      <vt:variant>
        <vt:lpwstr/>
      </vt:variant>
      <vt:variant>
        <vt:lpwstr>_Toc453834141</vt:lpwstr>
      </vt:variant>
      <vt:variant>
        <vt:i4>1703989</vt:i4>
      </vt:variant>
      <vt:variant>
        <vt:i4>125</vt:i4>
      </vt:variant>
      <vt:variant>
        <vt:i4>0</vt:i4>
      </vt:variant>
      <vt:variant>
        <vt:i4>5</vt:i4>
      </vt:variant>
      <vt:variant>
        <vt:lpwstr/>
      </vt:variant>
      <vt:variant>
        <vt:lpwstr>_Toc453834140</vt:lpwstr>
      </vt:variant>
      <vt:variant>
        <vt:i4>1900597</vt:i4>
      </vt:variant>
      <vt:variant>
        <vt:i4>119</vt:i4>
      </vt:variant>
      <vt:variant>
        <vt:i4>0</vt:i4>
      </vt:variant>
      <vt:variant>
        <vt:i4>5</vt:i4>
      </vt:variant>
      <vt:variant>
        <vt:lpwstr/>
      </vt:variant>
      <vt:variant>
        <vt:lpwstr>_Toc453834139</vt:lpwstr>
      </vt:variant>
      <vt:variant>
        <vt:i4>1900597</vt:i4>
      </vt:variant>
      <vt:variant>
        <vt:i4>113</vt:i4>
      </vt:variant>
      <vt:variant>
        <vt:i4>0</vt:i4>
      </vt:variant>
      <vt:variant>
        <vt:i4>5</vt:i4>
      </vt:variant>
      <vt:variant>
        <vt:lpwstr/>
      </vt:variant>
      <vt:variant>
        <vt:lpwstr>_Toc453834138</vt:lpwstr>
      </vt:variant>
      <vt:variant>
        <vt:i4>1900597</vt:i4>
      </vt:variant>
      <vt:variant>
        <vt:i4>107</vt:i4>
      </vt:variant>
      <vt:variant>
        <vt:i4>0</vt:i4>
      </vt:variant>
      <vt:variant>
        <vt:i4>5</vt:i4>
      </vt:variant>
      <vt:variant>
        <vt:lpwstr/>
      </vt:variant>
      <vt:variant>
        <vt:lpwstr>_Toc453834137</vt:lpwstr>
      </vt:variant>
      <vt:variant>
        <vt:i4>1900597</vt:i4>
      </vt:variant>
      <vt:variant>
        <vt:i4>101</vt:i4>
      </vt:variant>
      <vt:variant>
        <vt:i4>0</vt:i4>
      </vt:variant>
      <vt:variant>
        <vt:i4>5</vt:i4>
      </vt:variant>
      <vt:variant>
        <vt:lpwstr/>
      </vt:variant>
      <vt:variant>
        <vt:lpwstr>_Toc453834136</vt:lpwstr>
      </vt:variant>
      <vt:variant>
        <vt:i4>1900597</vt:i4>
      </vt:variant>
      <vt:variant>
        <vt:i4>95</vt:i4>
      </vt:variant>
      <vt:variant>
        <vt:i4>0</vt:i4>
      </vt:variant>
      <vt:variant>
        <vt:i4>5</vt:i4>
      </vt:variant>
      <vt:variant>
        <vt:lpwstr/>
      </vt:variant>
      <vt:variant>
        <vt:lpwstr>_Toc453834135</vt:lpwstr>
      </vt:variant>
      <vt:variant>
        <vt:i4>1900597</vt:i4>
      </vt:variant>
      <vt:variant>
        <vt:i4>89</vt:i4>
      </vt:variant>
      <vt:variant>
        <vt:i4>0</vt:i4>
      </vt:variant>
      <vt:variant>
        <vt:i4>5</vt:i4>
      </vt:variant>
      <vt:variant>
        <vt:lpwstr/>
      </vt:variant>
      <vt:variant>
        <vt:lpwstr>_Toc453834134</vt:lpwstr>
      </vt:variant>
      <vt:variant>
        <vt:i4>1900597</vt:i4>
      </vt:variant>
      <vt:variant>
        <vt:i4>83</vt:i4>
      </vt:variant>
      <vt:variant>
        <vt:i4>0</vt:i4>
      </vt:variant>
      <vt:variant>
        <vt:i4>5</vt:i4>
      </vt:variant>
      <vt:variant>
        <vt:lpwstr/>
      </vt:variant>
      <vt:variant>
        <vt:lpwstr>_Toc453834133</vt:lpwstr>
      </vt:variant>
      <vt:variant>
        <vt:i4>1900597</vt:i4>
      </vt:variant>
      <vt:variant>
        <vt:i4>77</vt:i4>
      </vt:variant>
      <vt:variant>
        <vt:i4>0</vt:i4>
      </vt:variant>
      <vt:variant>
        <vt:i4>5</vt:i4>
      </vt:variant>
      <vt:variant>
        <vt:lpwstr/>
      </vt:variant>
      <vt:variant>
        <vt:lpwstr>_Toc453834132</vt:lpwstr>
      </vt:variant>
      <vt:variant>
        <vt:i4>1900597</vt:i4>
      </vt:variant>
      <vt:variant>
        <vt:i4>71</vt:i4>
      </vt:variant>
      <vt:variant>
        <vt:i4>0</vt:i4>
      </vt:variant>
      <vt:variant>
        <vt:i4>5</vt:i4>
      </vt:variant>
      <vt:variant>
        <vt:lpwstr/>
      </vt:variant>
      <vt:variant>
        <vt:lpwstr>_Toc453834131</vt:lpwstr>
      </vt:variant>
      <vt:variant>
        <vt:i4>1900597</vt:i4>
      </vt:variant>
      <vt:variant>
        <vt:i4>65</vt:i4>
      </vt:variant>
      <vt:variant>
        <vt:i4>0</vt:i4>
      </vt:variant>
      <vt:variant>
        <vt:i4>5</vt:i4>
      </vt:variant>
      <vt:variant>
        <vt:lpwstr/>
      </vt:variant>
      <vt:variant>
        <vt:lpwstr>_Toc453834130</vt:lpwstr>
      </vt:variant>
      <vt:variant>
        <vt:i4>1835061</vt:i4>
      </vt:variant>
      <vt:variant>
        <vt:i4>59</vt:i4>
      </vt:variant>
      <vt:variant>
        <vt:i4>0</vt:i4>
      </vt:variant>
      <vt:variant>
        <vt:i4>5</vt:i4>
      </vt:variant>
      <vt:variant>
        <vt:lpwstr/>
      </vt:variant>
      <vt:variant>
        <vt:lpwstr>_Toc453834129</vt:lpwstr>
      </vt:variant>
      <vt:variant>
        <vt:i4>1835061</vt:i4>
      </vt:variant>
      <vt:variant>
        <vt:i4>53</vt:i4>
      </vt:variant>
      <vt:variant>
        <vt:i4>0</vt:i4>
      </vt:variant>
      <vt:variant>
        <vt:i4>5</vt:i4>
      </vt:variant>
      <vt:variant>
        <vt:lpwstr/>
      </vt:variant>
      <vt:variant>
        <vt:lpwstr>_Toc453834128</vt:lpwstr>
      </vt:variant>
      <vt:variant>
        <vt:i4>1835061</vt:i4>
      </vt:variant>
      <vt:variant>
        <vt:i4>47</vt:i4>
      </vt:variant>
      <vt:variant>
        <vt:i4>0</vt:i4>
      </vt:variant>
      <vt:variant>
        <vt:i4>5</vt:i4>
      </vt:variant>
      <vt:variant>
        <vt:lpwstr/>
      </vt:variant>
      <vt:variant>
        <vt:lpwstr>_Toc453834127</vt:lpwstr>
      </vt:variant>
      <vt:variant>
        <vt:i4>1835061</vt:i4>
      </vt:variant>
      <vt:variant>
        <vt:i4>41</vt:i4>
      </vt:variant>
      <vt:variant>
        <vt:i4>0</vt:i4>
      </vt:variant>
      <vt:variant>
        <vt:i4>5</vt:i4>
      </vt:variant>
      <vt:variant>
        <vt:lpwstr/>
      </vt:variant>
      <vt:variant>
        <vt:lpwstr>_Toc453834126</vt:lpwstr>
      </vt:variant>
      <vt:variant>
        <vt:i4>1835061</vt:i4>
      </vt:variant>
      <vt:variant>
        <vt:i4>35</vt:i4>
      </vt:variant>
      <vt:variant>
        <vt:i4>0</vt:i4>
      </vt:variant>
      <vt:variant>
        <vt:i4>5</vt:i4>
      </vt:variant>
      <vt:variant>
        <vt:lpwstr/>
      </vt:variant>
      <vt:variant>
        <vt:lpwstr>_Toc453834125</vt:lpwstr>
      </vt:variant>
      <vt:variant>
        <vt:i4>1835061</vt:i4>
      </vt:variant>
      <vt:variant>
        <vt:i4>29</vt:i4>
      </vt:variant>
      <vt:variant>
        <vt:i4>0</vt:i4>
      </vt:variant>
      <vt:variant>
        <vt:i4>5</vt:i4>
      </vt:variant>
      <vt:variant>
        <vt:lpwstr/>
      </vt:variant>
      <vt:variant>
        <vt:lpwstr>_Toc453834124</vt:lpwstr>
      </vt:variant>
      <vt:variant>
        <vt:i4>1835061</vt:i4>
      </vt:variant>
      <vt:variant>
        <vt:i4>23</vt:i4>
      </vt:variant>
      <vt:variant>
        <vt:i4>0</vt:i4>
      </vt:variant>
      <vt:variant>
        <vt:i4>5</vt:i4>
      </vt:variant>
      <vt:variant>
        <vt:lpwstr/>
      </vt:variant>
      <vt:variant>
        <vt:lpwstr>_Toc453834123</vt:lpwstr>
      </vt:variant>
      <vt:variant>
        <vt:i4>1835061</vt:i4>
      </vt:variant>
      <vt:variant>
        <vt:i4>17</vt:i4>
      </vt:variant>
      <vt:variant>
        <vt:i4>0</vt:i4>
      </vt:variant>
      <vt:variant>
        <vt:i4>5</vt:i4>
      </vt:variant>
      <vt:variant>
        <vt:lpwstr/>
      </vt:variant>
      <vt:variant>
        <vt:lpwstr>_Toc453834122</vt:lpwstr>
      </vt:variant>
      <vt:variant>
        <vt:i4>1835061</vt:i4>
      </vt:variant>
      <vt:variant>
        <vt:i4>11</vt:i4>
      </vt:variant>
      <vt:variant>
        <vt:i4>0</vt:i4>
      </vt:variant>
      <vt:variant>
        <vt:i4>5</vt:i4>
      </vt:variant>
      <vt:variant>
        <vt:lpwstr/>
      </vt:variant>
      <vt:variant>
        <vt:lpwstr>_Toc453834121</vt:lpwstr>
      </vt:variant>
      <vt:variant>
        <vt:i4>1835061</vt:i4>
      </vt:variant>
      <vt:variant>
        <vt:i4>5</vt:i4>
      </vt:variant>
      <vt:variant>
        <vt:i4>0</vt:i4>
      </vt:variant>
      <vt:variant>
        <vt:i4>5</vt:i4>
      </vt:variant>
      <vt:variant>
        <vt:lpwstr/>
      </vt:variant>
      <vt:variant>
        <vt:lpwstr>_Toc453834120</vt:lpwstr>
      </vt:variant>
      <vt:variant>
        <vt:i4>917588</vt:i4>
      </vt:variant>
      <vt:variant>
        <vt:i4>0</vt:i4>
      </vt:variant>
      <vt:variant>
        <vt:i4>0</vt:i4>
      </vt:variant>
      <vt:variant>
        <vt:i4>5</vt:i4>
      </vt:variant>
      <vt:variant>
        <vt:lpwstr>http://disability-europe.net/</vt:lpwstr>
      </vt:variant>
      <vt:variant>
        <vt:lpwstr/>
      </vt:variant>
      <vt:variant>
        <vt:i4>262271</vt:i4>
      </vt:variant>
      <vt:variant>
        <vt:i4>81</vt:i4>
      </vt:variant>
      <vt:variant>
        <vt:i4>0</vt:i4>
      </vt:variant>
      <vt:variant>
        <vt:i4>5</vt:i4>
      </vt:variant>
      <vt:variant>
        <vt:lpwstr>http://www.moec.gov.cy/anakoinoseis/2014/pdf/2014_06_12_ekthesi_pagkosmias_trapezas_politikes_ekpaideftikon.pdf</vt:lpwstr>
      </vt:variant>
      <vt:variant>
        <vt:lpwstr/>
      </vt:variant>
      <vt:variant>
        <vt:i4>7012396</vt:i4>
      </vt:variant>
      <vt:variant>
        <vt:i4>78</vt:i4>
      </vt:variant>
      <vt:variant>
        <vt:i4>0</vt:i4>
      </vt:variant>
      <vt:variant>
        <vt:i4>5</vt:i4>
      </vt:variant>
      <vt:variant>
        <vt:lpwstr>http://www.philenews.com/el-gr/eidiseis-media/893/248681/anapiro-to-ktirio-tou-rik</vt:lpwstr>
      </vt:variant>
      <vt:variant>
        <vt:lpwstr/>
      </vt:variant>
      <vt:variant>
        <vt:i4>3211379</vt:i4>
      </vt:variant>
      <vt:variant>
        <vt:i4>75</vt:i4>
      </vt:variant>
      <vt:variant>
        <vt:i4>0</vt:i4>
      </vt:variant>
      <vt:variant>
        <vt:i4>5</vt:i4>
      </vt:variant>
      <vt:variant>
        <vt:lpwstr>http://www.ombudsman.gov.cy/ombudsman/ombudsman.nsf/index_en/index_en?opendocument</vt:lpwstr>
      </vt:variant>
      <vt:variant>
        <vt:lpwstr>sthash.Gj1GObjq.dpu</vt:lpwstr>
      </vt:variant>
      <vt:variant>
        <vt:i4>2949153</vt:i4>
      </vt:variant>
      <vt:variant>
        <vt:i4>72</vt:i4>
      </vt:variant>
      <vt:variant>
        <vt:i4>0</vt:i4>
      </vt:variant>
      <vt:variant>
        <vt:i4>5</vt:i4>
      </vt:variant>
      <vt:variant>
        <vt:lpwstr>http://www.structuralfunds.org.cy/uploadfiles/News/EVALUATION-PLAN-FINAL-DECEMBER-2015.docx</vt:lpwstr>
      </vt:variant>
      <vt:variant>
        <vt:lpwstr/>
      </vt:variant>
      <vt:variant>
        <vt:i4>2949153</vt:i4>
      </vt:variant>
      <vt:variant>
        <vt:i4>69</vt:i4>
      </vt:variant>
      <vt:variant>
        <vt:i4>0</vt:i4>
      </vt:variant>
      <vt:variant>
        <vt:i4>5</vt:i4>
      </vt:variant>
      <vt:variant>
        <vt:lpwstr>http://www.structuralfunds.org.cy/uploadfiles/News/EVALUATION-PLAN-FINAL-DECEMBER-2015.docx</vt:lpwstr>
      </vt:variant>
      <vt:variant>
        <vt:lpwstr/>
      </vt:variant>
      <vt:variant>
        <vt:i4>6422573</vt:i4>
      </vt:variant>
      <vt:variant>
        <vt:i4>66</vt:i4>
      </vt:variant>
      <vt:variant>
        <vt:i4>0</vt:i4>
      </vt:variant>
      <vt:variant>
        <vt:i4>5</vt:i4>
      </vt:variant>
      <vt:variant>
        <vt:lpwstr>http://www.structuralfunds.org.cy/uploadfiles/%CE%A0%CE%B1%CF%81%CE%AC%CF%81%CF%84%CE%B7%CE%BC%CE%B1 1 - %CE%94%CE%B5%CE%AF%CE%BA%CF%84%CE%B5%CF%82 %CF%84%CE%BF%CF%85 %CE%A0%CF%81%CE%BF%CE%B3%CF%81%CE%AC%CE%BC%CE%BC%CE%B1%CF%84%CE%BF%CF%82.pdf</vt:lpwstr>
      </vt:variant>
      <vt:variant>
        <vt:lpwstr/>
      </vt:variant>
      <vt:variant>
        <vt:i4>3539002</vt:i4>
      </vt:variant>
      <vt:variant>
        <vt:i4>63</vt:i4>
      </vt:variant>
      <vt:variant>
        <vt:i4>0</vt:i4>
      </vt:variant>
      <vt:variant>
        <vt:i4>5</vt:i4>
      </vt:variant>
      <vt:variant>
        <vt:lpwstr>http://www.structuralfunds.org.cy/uploadfiles/%CE%95%CF%84%CE%AE%CF%83%CE%B9%CE%B1 %CE%88%CE%BA%CE%B8%CE%B5%CF%83%CE%B7 %CE%A5%CE%BB%CE%BF%CF%80%CE%BF%CE%AF%CE%B7%CF%83%CE%B7%CF%82 2015 -- submitted.pdf</vt:lpwstr>
      </vt:variant>
      <vt:variant>
        <vt:lpwstr/>
      </vt:variant>
      <vt:variant>
        <vt:i4>4653135</vt:i4>
      </vt:variant>
      <vt:variant>
        <vt:i4>60</vt:i4>
      </vt:variant>
      <vt:variant>
        <vt:i4>0</vt:i4>
      </vt:variant>
      <vt:variant>
        <vt:i4>5</vt:i4>
      </vt:variant>
      <vt:variant>
        <vt:lpwstr>http://www.structuralfunds.org.cy/Potential-Beneficiaries</vt:lpwstr>
      </vt:variant>
      <vt:variant>
        <vt:lpwstr/>
      </vt:variant>
      <vt:variant>
        <vt:i4>5439569</vt:i4>
      </vt:variant>
      <vt:variant>
        <vt:i4>57</vt:i4>
      </vt:variant>
      <vt:variant>
        <vt:i4>0</vt:i4>
      </vt:variant>
      <vt:variant>
        <vt:i4>5</vt:i4>
      </vt:variant>
      <vt:variant>
        <vt:lpwstr>http://www.ant1iwo.com/news/cyprus/article/212335/sovara-provlimata-gia-tous-reumatopatheis-sti-larnaka-/</vt:lpwstr>
      </vt:variant>
      <vt:variant>
        <vt:lpwstr/>
      </vt:variant>
      <vt:variant>
        <vt:i4>4718597</vt:i4>
      </vt:variant>
      <vt:variant>
        <vt:i4>54</vt:i4>
      </vt:variant>
      <vt:variant>
        <vt:i4>0</vt:i4>
      </vt:variant>
      <vt:variant>
        <vt:i4>5</vt:i4>
      </vt:variant>
      <vt:variant>
        <vt:lpwstr>http://mazi4autism.com/index.php/en/</vt:lpwstr>
      </vt:variant>
      <vt:variant>
        <vt:lpwstr/>
      </vt:variant>
      <vt:variant>
        <vt:i4>1900555</vt:i4>
      </vt:variant>
      <vt:variant>
        <vt:i4>51</vt:i4>
      </vt:variant>
      <vt:variant>
        <vt:i4>0</vt:i4>
      </vt:variant>
      <vt:variant>
        <vt:i4>5</vt:i4>
      </vt:variant>
      <vt:variant>
        <vt:lpwstr>http://www.mlsi.gov.cy/mlsi/dsid/dsid.nsf/A8A5F20B4E23E622C2257A7C002CEBC5/$file/FINAL First CY Report on the UNCRPD.doc</vt:lpwstr>
      </vt:variant>
      <vt:variant>
        <vt:lpwstr/>
      </vt:variant>
      <vt:variant>
        <vt:i4>1441799</vt:i4>
      </vt:variant>
      <vt:variant>
        <vt:i4>48</vt:i4>
      </vt:variant>
      <vt:variant>
        <vt:i4>0</vt:i4>
      </vt:variant>
      <vt:variant>
        <vt:i4>5</vt:i4>
      </vt:variant>
      <vt:variant>
        <vt:lpwstr>http://www.cylaw.org/nomoi/enop/non-ind/2014_1_109/full.html</vt:lpwstr>
      </vt:variant>
      <vt:variant>
        <vt:lpwstr/>
      </vt:variant>
      <vt:variant>
        <vt:i4>524318</vt:i4>
      </vt:variant>
      <vt:variant>
        <vt:i4>45</vt:i4>
      </vt:variant>
      <vt:variant>
        <vt:i4>0</vt:i4>
      </vt:variant>
      <vt:variant>
        <vt:i4>5</vt:i4>
      </vt:variant>
      <vt:variant>
        <vt:lpwstr>http://offsite.com.cy/elachisto-engiimeno-isodima-ke-atoma-anapiria/</vt:lpwstr>
      </vt:variant>
      <vt:variant>
        <vt:lpwstr/>
      </vt:variant>
      <vt:variant>
        <vt:i4>6684711</vt:i4>
      </vt:variant>
      <vt:variant>
        <vt:i4>42</vt:i4>
      </vt:variant>
      <vt:variant>
        <vt:i4>0</vt:i4>
      </vt:variant>
      <vt:variant>
        <vt:i4>5</vt:i4>
      </vt:variant>
      <vt:variant>
        <vt:lpwstr>http://www.mlsi.gov.cy/mlsi/dsid/dsid.nsf/dsipd08_en/dsipd08_en?OpenDocument</vt:lpwstr>
      </vt:variant>
      <vt:variant>
        <vt:lpwstr/>
      </vt:variant>
      <vt:variant>
        <vt:i4>6946924</vt:i4>
      </vt:variant>
      <vt:variant>
        <vt:i4>39</vt:i4>
      </vt:variant>
      <vt:variant>
        <vt:i4>0</vt:i4>
      </vt:variant>
      <vt:variant>
        <vt:i4>5</vt:i4>
      </vt:variant>
      <vt:variant>
        <vt:lpwstr>http://www.cpmental.com.cy/epnka/page.php?pageID=25</vt:lpwstr>
      </vt:variant>
      <vt:variant>
        <vt:lpwstr/>
      </vt:variant>
      <vt:variant>
        <vt:i4>6881341</vt:i4>
      </vt:variant>
      <vt:variant>
        <vt:i4>36</vt:i4>
      </vt:variant>
      <vt:variant>
        <vt:i4>0</vt:i4>
      </vt:variant>
      <vt:variant>
        <vt:i4>5</vt:i4>
      </vt:variant>
      <vt:variant>
        <vt:lpwstr>http://www.moec.gov.cy/agogi_ygeias/omada_amesis_paremvasis_paravatikotita.html</vt:lpwstr>
      </vt:variant>
      <vt:variant>
        <vt:lpwstr/>
      </vt:variant>
      <vt:variant>
        <vt:i4>6225942</vt:i4>
      </vt:variant>
      <vt:variant>
        <vt:i4>33</vt:i4>
      </vt:variant>
      <vt:variant>
        <vt:i4>0</vt:i4>
      </vt:variant>
      <vt:variant>
        <vt:i4>5</vt:i4>
      </vt:variant>
      <vt:variant>
        <vt:lpwstr>http://www.moec.gov.cy/eidiki_ekpaidefsi/nomothesia/peri_mihanismou_kanonismoi_2001_185_2001.pdf</vt:lpwstr>
      </vt:variant>
      <vt:variant>
        <vt:lpwstr/>
      </vt:variant>
      <vt:variant>
        <vt:i4>4915214</vt:i4>
      </vt:variant>
      <vt:variant>
        <vt:i4>30</vt:i4>
      </vt:variant>
      <vt:variant>
        <vt:i4>0</vt:i4>
      </vt:variant>
      <vt:variant>
        <vt:i4>5</vt:i4>
      </vt:variant>
      <vt:variant>
        <vt:lpwstr>http://www.cylaw.org/cgi-bin/open.pl?file=nomoi/enop/ind/2009_1_146/preamble-pr5e5a5a44-4dbb-cd45-1dc3-7d194767d5c2.html&amp;qstring=%E1%ED%E1%F0%E7*</vt:lpwstr>
      </vt:variant>
      <vt:variant>
        <vt:lpwstr/>
      </vt:variant>
      <vt:variant>
        <vt:i4>3145772</vt:i4>
      </vt:variant>
      <vt:variant>
        <vt:i4>27</vt:i4>
      </vt:variant>
      <vt:variant>
        <vt:i4>0</vt:i4>
      </vt:variant>
      <vt:variant>
        <vt:i4>5</vt:i4>
      </vt:variant>
      <vt:variant>
        <vt:lpwstr>http://www.ncbi.nlm.nih.gov/pubmed/26294546</vt:lpwstr>
      </vt:variant>
      <vt:variant>
        <vt:lpwstr/>
      </vt:variant>
      <vt:variant>
        <vt:i4>7340045</vt:i4>
      </vt:variant>
      <vt:variant>
        <vt:i4>24</vt:i4>
      </vt:variant>
      <vt:variant>
        <vt:i4>0</vt:i4>
      </vt:variant>
      <vt:variant>
        <vt:i4>5</vt:i4>
      </vt:variant>
      <vt:variant>
        <vt:lpwstr>http://appsso.eurostat.ec.europa.eu/nui/show.do?dataset=hlth_de020&amp;lang=en</vt:lpwstr>
      </vt:variant>
      <vt:variant>
        <vt:lpwstr/>
      </vt:variant>
      <vt:variant>
        <vt:i4>7340046</vt:i4>
      </vt:variant>
      <vt:variant>
        <vt:i4>21</vt:i4>
      </vt:variant>
      <vt:variant>
        <vt:i4>0</vt:i4>
      </vt:variant>
      <vt:variant>
        <vt:i4>5</vt:i4>
      </vt:variant>
      <vt:variant>
        <vt:lpwstr>http://appsso.eurostat.ec.europa.eu/nui/show.do?dataset=hlth_de010&amp;lang=en</vt:lpwstr>
      </vt:variant>
      <vt:variant>
        <vt:lpwstr/>
      </vt:variant>
      <vt:variant>
        <vt:i4>6619172</vt:i4>
      </vt:variant>
      <vt:variant>
        <vt:i4>18</vt:i4>
      </vt:variant>
      <vt:variant>
        <vt:i4>0</vt:i4>
      </vt:variant>
      <vt:variant>
        <vt:i4>5</vt:i4>
      </vt:variant>
      <vt:variant>
        <vt:lpwstr>http://www.mlsi.gov.cy/mlsi/dsid/dsid.nsf/dsipd29_en/dsipd29_en?OpenDocument</vt:lpwstr>
      </vt:variant>
      <vt:variant>
        <vt:lpwstr/>
      </vt:variant>
      <vt:variant>
        <vt:i4>6619172</vt:i4>
      </vt:variant>
      <vt:variant>
        <vt:i4>15</vt:i4>
      </vt:variant>
      <vt:variant>
        <vt:i4>0</vt:i4>
      </vt:variant>
      <vt:variant>
        <vt:i4>5</vt:i4>
      </vt:variant>
      <vt:variant>
        <vt:lpwstr>http://www.mlsi.gov.cy/mlsi/dsid/dsid.nsf/dsipd29_en/dsipd29_en?OpenDocument</vt:lpwstr>
      </vt:variant>
      <vt:variant>
        <vt:lpwstr/>
      </vt:variant>
      <vt:variant>
        <vt:i4>1179735</vt:i4>
      </vt:variant>
      <vt:variant>
        <vt:i4>12</vt:i4>
      </vt:variant>
      <vt:variant>
        <vt:i4>0</vt:i4>
      </vt:variant>
      <vt:variant>
        <vt:i4>5</vt:i4>
      </vt:variant>
      <vt:variant>
        <vt:lpwstr>http://www.disability-europe.net/theme/statistical-indicators</vt:lpwstr>
      </vt:variant>
      <vt:variant>
        <vt:lpwstr/>
      </vt:variant>
      <vt:variant>
        <vt:i4>393248</vt:i4>
      </vt:variant>
      <vt:variant>
        <vt:i4>9</vt:i4>
      </vt:variant>
      <vt:variant>
        <vt:i4>0</vt:i4>
      </vt:variant>
      <vt:variant>
        <vt:i4>5</vt:i4>
      </vt:variant>
      <vt:variant>
        <vt:lpwstr>http://epp.eurostat.ec.europa.eu/statistics_explained/index.php/Glossary:Minimum_European_Health_Module_(MEHM)</vt:lpwstr>
      </vt:variant>
      <vt:variant>
        <vt:lpwstr/>
      </vt:variant>
      <vt:variant>
        <vt:i4>6684711</vt:i4>
      </vt:variant>
      <vt:variant>
        <vt:i4>6</vt:i4>
      </vt:variant>
      <vt:variant>
        <vt:i4>0</vt:i4>
      </vt:variant>
      <vt:variant>
        <vt:i4>5</vt:i4>
      </vt:variant>
      <vt:variant>
        <vt:lpwstr>http://www.mlsi.gov.cy/mlsi/dsid/dsid.nsf/dsipd08_en/dsipd08_en?OpenDocument</vt:lpwstr>
      </vt:variant>
      <vt:variant>
        <vt:lpwstr/>
      </vt:variant>
      <vt:variant>
        <vt:i4>458854</vt:i4>
      </vt:variant>
      <vt:variant>
        <vt:i4>3</vt:i4>
      </vt:variant>
      <vt:variant>
        <vt:i4>0</vt:i4>
      </vt:variant>
      <vt:variant>
        <vt:i4>5</vt:i4>
      </vt:variant>
      <vt:variant>
        <vt:lpwstr>http://ec.europa.eu/europe2020/pdf/targets_en.pdf</vt:lpwstr>
      </vt:variant>
      <vt:variant>
        <vt:lpwstr/>
      </vt:variant>
      <vt:variant>
        <vt:i4>3211379</vt:i4>
      </vt:variant>
      <vt:variant>
        <vt:i4>0</vt:i4>
      </vt:variant>
      <vt:variant>
        <vt:i4>0</vt:i4>
      </vt:variant>
      <vt:variant>
        <vt:i4>5</vt:i4>
      </vt:variant>
      <vt:variant>
        <vt:lpwstr>http://www.ombudsman.gov.cy/ombudsman/ombudsman.nsf/index_en/index_en?opendocument</vt:lpwstr>
      </vt:variant>
      <vt:variant>
        <vt:lpwstr>sthash.Gj1GObjq.dpu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Priestley</dc:creator>
  <cp:keywords/>
  <cp:lastModifiedBy>Rebecca van Midden</cp:lastModifiedBy>
  <cp:revision>5</cp:revision>
  <cp:lastPrinted>2015-09-17T08:54:00Z</cp:lastPrinted>
  <dcterms:created xsi:type="dcterms:W3CDTF">2017-05-24T13:33:00Z</dcterms:created>
  <dcterms:modified xsi:type="dcterms:W3CDTF">2017-07-12T11:36:00Z</dcterms:modified>
</cp:coreProperties>
</file>